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jc w:val="center"/>
        <w:rPr>
          <w:sz w:val="56"/>
          <w:szCs w:val="56"/>
        </w:rPr>
      </w:pPr>
      <w:bookmarkStart w:id="0" w:name="OLE_LINK2"/>
      <w:r>
        <w:rPr>
          <w:sz w:val="56"/>
        </w:rPr>
        <mc:AlternateContent>
          <mc:Choice Requires="wps">
            <w:drawing>
              <wp:anchor distT="0" distB="0" distL="114300" distR="114300" simplePos="0" relativeHeight="251659264" behindDoc="0" locked="0" layoutInCell="1" allowOverlap="1">
                <wp:simplePos x="0" y="0"/>
                <wp:positionH relativeFrom="column">
                  <wp:posOffset>-236220</wp:posOffset>
                </wp:positionH>
                <wp:positionV relativeFrom="paragraph">
                  <wp:posOffset>-297180</wp:posOffset>
                </wp:positionV>
                <wp:extent cx="1523365" cy="517525"/>
                <wp:effectExtent l="0" t="0" r="635" b="15875"/>
                <wp:wrapNone/>
                <wp:docPr id="1" name="文本框 1"/>
                <wp:cNvGraphicFramePr/>
                <a:graphic xmlns:a="http://schemas.openxmlformats.org/drawingml/2006/main">
                  <a:graphicData uri="http://schemas.microsoft.com/office/word/2010/wordprocessingShape">
                    <wps:wsp>
                      <wps:cNvSpPr txBox="1"/>
                      <wps:spPr>
                        <a:xfrm>
                          <a:off x="1799590" y="935990"/>
                          <a:ext cx="1523365" cy="5175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楷体" w:hAnsi="楷体" w:eastAsia="楷体" w:cs="楷体"/>
                                <w:sz w:val="30"/>
                                <w:szCs w:val="30"/>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6pt;margin-top:-23.4pt;height:40.75pt;width:119.95pt;z-index:251659264;mso-width-relative:page;mso-height-relative:page;" fillcolor="#FFFFFF [3201]" filled="t" stroked="f" coordsize="21600,21600" o:gfxdata="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HLwJlDWAAAACgEAAA8AAAAAAAAAAQAgAAAAIgAAAGRycy9kb3du&#10;cmV2LnhtbFBLAQIUABQAAAAIAIdO4kBDKpePOgIAAEwEAAAOAAAAAAAAAAEAIAAAACUBAABkcnMv&#10;ZTJvRG9jLnhtbFBLBQYAAAAABgAGAFkBAADRBQAAAAA=&#10;">
                <v:fill on="t" focussize="0,0"/>
                <v:stroke on="f" weight="0.5pt"/>
                <v:imagedata o:title=""/>
                <o:lock v:ext="edit" aspectratio="f"/>
                <v:textbox>
                  <w:txbxContent>
                    <w:p>
                      <w:pPr>
                        <w:rPr>
                          <w:rFonts w:hint="eastAsia" w:ascii="楷体" w:hAnsi="楷体" w:eastAsia="楷体" w:cs="楷体"/>
                          <w:sz w:val="30"/>
                          <w:szCs w:val="30"/>
                          <w:lang w:val="en-US" w:eastAsia="zh-CN"/>
                        </w:rPr>
                      </w:pPr>
                    </w:p>
                  </w:txbxContent>
                </v:textbox>
              </v:shape>
            </w:pict>
          </mc:Fallback>
        </mc:AlternateContent>
      </w:r>
    </w:p>
    <w:p>
      <w:pPr>
        <w:pStyle w:val="15"/>
        <w:jc w:val="center"/>
        <w:rPr>
          <w:sz w:val="56"/>
          <w:szCs w:val="56"/>
        </w:rPr>
      </w:pPr>
    </w:p>
    <w:bookmarkEnd w:id="0"/>
    <w:p>
      <w:pPr>
        <w:pStyle w:val="15"/>
        <w:jc w:val="center"/>
        <w:rPr>
          <w:sz w:val="56"/>
          <w:szCs w:val="56"/>
        </w:rPr>
      </w:pPr>
      <w:r>
        <w:rPr>
          <w:sz w:val="56"/>
        </w:rPr>
        <mc:AlternateContent>
          <mc:Choice Requires="wps">
            <w:drawing>
              <wp:anchor distT="0" distB="0" distL="114300" distR="114300" simplePos="0" relativeHeight="251660288" behindDoc="0" locked="0" layoutInCell="1" allowOverlap="1">
                <wp:simplePos x="0" y="0"/>
                <wp:positionH relativeFrom="column">
                  <wp:posOffset>-236220</wp:posOffset>
                </wp:positionH>
                <wp:positionV relativeFrom="paragraph">
                  <wp:posOffset>-297180</wp:posOffset>
                </wp:positionV>
                <wp:extent cx="1523365" cy="517525"/>
                <wp:effectExtent l="0" t="0" r="635" b="15875"/>
                <wp:wrapNone/>
                <wp:docPr id="6" name="文本框 6"/>
                <wp:cNvGraphicFramePr/>
                <a:graphic xmlns:a="http://schemas.openxmlformats.org/drawingml/2006/main">
                  <a:graphicData uri="http://schemas.microsoft.com/office/word/2010/wordprocessingShape">
                    <wps:wsp>
                      <wps:cNvSpPr txBox="1"/>
                      <wps:spPr>
                        <a:xfrm>
                          <a:off x="1799590" y="935990"/>
                          <a:ext cx="1523365" cy="5175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楷体" w:hAnsi="楷体" w:eastAsia="楷体" w:cs="楷体"/>
                                <w:sz w:val="30"/>
                                <w:szCs w:val="30"/>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6pt;margin-top:-23.4pt;height:40.75pt;width:119.95pt;z-index:251660288;mso-width-relative:page;mso-height-relative:page;" fillcolor="#FFFFFF [3201]" filled="t" stroked="f" coordsize="21600,21600" o:gfxdata="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y8CZQ1gAAAAoBAAAPAAAAAAAAAAEAIAAAACIAAABkcnMvZG93&#10;bnJldi54bWxQSwECFAAUAAAACACHTuJAIFt2DjsCAABMBAAADgAAAAAAAAABACAAAAAlAQAAZHJz&#10;L2Uyb0RvYy54bWxQSwUGAAAAAAYABgBZAQAA0gUAAAAA&#10;">
                <v:fill on="t" focussize="0,0"/>
                <v:stroke on="f" weight="0.5pt"/>
                <v:imagedata o:title=""/>
                <o:lock v:ext="edit" aspectratio="f"/>
                <v:textbox>
                  <w:txbxContent>
                    <w:p>
                      <w:pPr>
                        <w:rPr>
                          <w:rFonts w:hint="eastAsia" w:ascii="楷体" w:hAnsi="楷体" w:eastAsia="楷体" w:cs="楷体"/>
                          <w:sz w:val="30"/>
                          <w:szCs w:val="30"/>
                          <w:lang w:val="en-US" w:eastAsia="zh-CN"/>
                        </w:rPr>
                      </w:pPr>
                    </w:p>
                  </w:txbxContent>
                </v:textbox>
              </v:shape>
            </w:pict>
          </mc:Fallback>
        </mc:AlternateContent>
      </w:r>
    </w:p>
    <w:p>
      <w:pPr>
        <w:pStyle w:val="15"/>
        <w:jc w:val="both"/>
        <w:rPr>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湖南省网络商品交易监测中心</w:t>
      </w:r>
      <w:r>
        <w:rPr>
          <w:rFonts w:hint="eastAsia" w:ascii="方正小标宋_GBK" w:hAnsi="方正小标宋_GBK" w:eastAsia="方正小标宋_GBK" w:cs="方正小标宋_GBK"/>
          <w:sz w:val="84"/>
          <w:szCs w:val="84"/>
          <w:lang w:eastAsia="zh-CN"/>
        </w:rPr>
        <w:t>单位</w:t>
      </w:r>
      <w:r>
        <w:rPr>
          <w:rFonts w:hint="eastAsia" w:ascii="方正小标宋_GBK" w:hAnsi="方正小标宋_GBK" w:eastAsia="方正小标宋_GBK" w:cs="方正小标宋_GBK"/>
          <w:sz w:val="84"/>
          <w:szCs w:val="84"/>
        </w:rPr>
        <w:t>决算</w:t>
      </w:r>
    </w:p>
    <w:p>
      <w:pPr>
        <w:pStyle w:val="15"/>
        <w:jc w:val="center"/>
        <w:rPr>
          <w:rFonts w:hint="eastAsia" w:ascii="方正小标宋_GBK" w:hAnsi="方正小标宋_GBK" w:eastAsia="方正小标宋_GBK" w:cs="方正小标宋_GBK"/>
          <w:sz w:val="56"/>
          <w:szCs w:val="56"/>
        </w:rPr>
      </w:pPr>
    </w:p>
    <w:p>
      <w:pPr>
        <w:pStyle w:val="15"/>
        <w:jc w:val="center"/>
        <w:rPr>
          <w:sz w:val="56"/>
          <w:szCs w:val="56"/>
        </w:rPr>
      </w:pPr>
    </w:p>
    <w:p>
      <w:pPr>
        <w:pStyle w:val="15"/>
        <w:jc w:val="center"/>
        <w:rPr>
          <w:sz w:val="56"/>
          <w:szCs w:val="56"/>
        </w:rPr>
      </w:pPr>
    </w:p>
    <w:p>
      <w:pPr>
        <w:pStyle w:val="15"/>
        <w:jc w:val="center"/>
        <w:rPr>
          <w:sz w:val="56"/>
          <w:szCs w:val="56"/>
        </w:rPr>
      </w:pPr>
    </w:p>
    <w:p>
      <w:pPr>
        <w:pStyle w:val="15"/>
        <w:jc w:val="center"/>
        <w:rPr>
          <w:sz w:val="32"/>
          <w:szCs w:val="32"/>
        </w:rPr>
      </w:pPr>
    </w:p>
    <w:p>
      <w:pPr>
        <w:pStyle w:val="15"/>
        <w:jc w:val="center"/>
        <w:rPr>
          <w:sz w:val="32"/>
          <w:szCs w:val="32"/>
        </w:rPr>
      </w:pPr>
    </w:p>
    <w:p>
      <w:pPr>
        <w:pStyle w:val="15"/>
        <w:jc w:val="center"/>
        <w:rPr>
          <w:sz w:val="32"/>
          <w:szCs w:val="32"/>
        </w:rPr>
      </w:pPr>
    </w:p>
    <w:p>
      <w:pPr>
        <w:pStyle w:val="15"/>
        <w:jc w:val="center"/>
        <w:rPr>
          <w:sz w:val="32"/>
          <w:szCs w:val="32"/>
        </w:rPr>
      </w:pPr>
    </w:p>
    <w:p>
      <w:pPr>
        <w:pStyle w:val="15"/>
        <w:spacing w:line="500" w:lineRule="exact"/>
        <w:jc w:val="center"/>
        <w:rPr>
          <w:b/>
          <w:sz w:val="36"/>
          <w:szCs w:val="28"/>
        </w:rPr>
      </w:pPr>
      <w:r>
        <w:rPr>
          <w:rFonts w:hint="eastAsia"/>
          <w:b/>
          <w:sz w:val="36"/>
          <w:szCs w:val="28"/>
        </w:rPr>
        <w:t>目录</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湖南省网络商品交易监测中心</w:t>
      </w:r>
      <w:r>
        <w:rPr>
          <w:rFonts w:hint="eastAsia" w:hAnsi="黑体" w:cs="黑体"/>
          <w:b w:val="0"/>
          <w:bCs/>
          <w:sz w:val="28"/>
          <w:szCs w:val="28"/>
          <w:lang w:val="en-US" w:eastAsia="zh-CN"/>
        </w:rPr>
        <w:t>单位</w:t>
      </w:r>
      <w:r>
        <w:rPr>
          <w:rFonts w:hint="eastAsia" w:ascii="黑体" w:hAnsi="黑体" w:eastAsia="黑体" w:cs="黑体"/>
          <w:b w:val="0"/>
          <w:bCs/>
          <w:sz w:val="28"/>
          <w:szCs w:val="28"/>
        </w:rPr>
        <w:t>概况</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eastAsia="zh-CN"/>
        </w:rPr>
        <w:t>单位</w:t>
      </w:r>
      <w:r>
        <w:rPr>
          <w:rFonts w:hint="eastAsia" w:ascii="仿宋_GB2312" w:hAnsi="仿宋_GB2312" w:eastAsia="仿宋_GB2312" w:cs="仿宋_GB2312"/>
          <w:sz w:val="28"/>
          <w:szCs w:val="28"/>
        </w:rPr>
        <w:t>职责</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单位</w:t>
      </w:r>
      <w:r>
        <w:rPr>
          <w:rFonts w:hint="eastAsia" w:ascii="黑体" w:hAnsi="黑体" w:eastAsia="黑体" w:cs="黑体"/>
          <w:b w:val="0"/>
          <w:bCs/>
          <w:sz w:val="28"/>
          <w:szCs w:val="28"/>
        </w:rPr>
        <w:t>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单位</w:t>
      </w:r>
      <w:r>
        <w:rPr>
          <w:rFonts w:hint="eastAsia" w:ascii="黑体" w:hAnsi="黑体" w:eastAsia="黑体" w:cs="黑体"/>
          <w:b w:val="0"/>
          <w:bCs/>
          <w:sz w:val="28"/>
          <w:szCs w:val="28"/>
        </w:rPr>
        <w:t>决算情况说明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5"/>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br w:type="page"/>
      </w:r>
    </w:p>
    <w:p>
      <w:pPr>
        <w:pStyle w:val="15"/>
        <w:jc w:val="center"/>
        <w:rPr>
          <w:sz w:val="56"/>
          <w:szCs w:val="56"/>
        </w:rPr>
      </w:pPr>
      <w:bookmarkStart w:id="1" w:name="OLE_LINK1"/>
    </w:p>
    <w:p>
      <w:pPr>
        <w:pStyle w:val="15"/>
        <w:jc w:val="center"/>
        <w:rPr>
          <w:sz w:val="56"/>
          <w:szCs w:val="56"/>
        </w:rPr>
      </w:pPr>
    </w:p>
    <w:p>
      <w:pPr>
        <w:pStyle w:val="15"/>
        <w:jc w:val="center"/>
        <w:rPr>
          <w:sz w:val="84"/>
          <w:szCs w:val="84"/>
        </w:rPr>
      </w:pPr>
    </w:p>
    <w:p>
      <w:pPr>
        <w:pStyle w:val="15"/>
        <w:jc w:val="center"/>
        <w:rPr>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湖南省网络商品交易监测中心</w:t>
      </w:r>
      <w:r>
        <w:rPr>
          <w:rFonts w:hint="eastAsia" w:ascii="方正小标宋_GBK" w:hAnsi="方正小标宋_GBK" w:eastAsia="方正小标宋_GBK" w:cs="方正小标宋_GBK"/>
          <w:sz w:val="84"/>
          <w:szCs w:val="84"/>
          <w:lang w:eastAsia="zh-CN"/>
        </w:rPr>
        <w:t>单位</w:t>
      </w:r>
      <w:r>
        <w:rPr>
          <w:rFonts w:hint="eastAsia" w:ascii="方正小标宋_GBK" w:hAnsi="方正小标宋_GBK" w:eastAsia="方正小标宋_GBK" w:cs="方正小标宋_GBK"/>
          <w:sz w:val="84"/>
          <w:szCs w:val="84"/>
        </w:rPr>
        <w:t>概况</w:t>
      </w:r>
    </w:p>
    <w:p>
      <w:pPr>
        <w:jc w:val="center"/>
        <w:rPr>
          <w:rFonts w:hint="eastAsia" w:ascii="方正小标宋_GBK" w:hAnsi="方正小标宋_GBK" w:eastAsia="方正小标宋_GBK" w:cs="方正小标宋_GBK"/>
          <w:sz w:val="72"/>
          <w:szCs w:val="72"/>
        </w:rPr>
      </w:pPr>
    </w:p>
    <w:bookmarkEnd w:id="1"/>
    <w:p>
      <w:pPr>
        <w:jc w:val="center"/>
        <w:rPr>
          <w:rFonts w:hint="eastAsia" w:ascii="方正小标宋_GBK" w:hAnsi="方正小标宋_GBK" w:eastAsia="方正小标宋_GBK" w:cs="方正小标宋_GBK"/>
          <w:sz w:val="72"/>
          <w:szCs w:val="72"/>
        </w:rPr>
      </w:pPr>
    </w:p>
    <w:p>
      <w:pPr>
        <w:jc w:val="center"/>
        <w:rPr>
          <w:sz w:val="72"/>
          <w:szCs w:val="72"/>
        </w:rPr>
      </w:pPr>
    </w:p>
    <w:p>
      <w:pPr>
        <w:jc w:val="center"/>
        <w:rPr>
          <w:sz w:val="72"/>
          <w:szCs w:val="72"/>
        </w:rPr>
      </w:pPr>
    </w:p>
    <w:p>
      <w:pPr>
        <w:jc w:val="center"/>
        <w:rPr>
          <w:sz w:val="72"/>
          <w:szCs w:val="72"/>
        </w:rPr>
      </w:pPr>
    </w:p>
    <w:p>
      <w:pPr>
        <w:rPr>
          <w:rFonts w:hint="eastAsia" w:ascii="黑体" w:hAnsi="黑体" w:eastAsia="黑体" w:cs="黑体"/>
          <w:b w:val="0"/>
          <w:bCs w:val="0"/>
          <w:sz w:val="32"/>
          <w:szCs w:val="32"/>
        </w:rPr>
      </w:pPr>
      <w:r>
        <w:rPr>
          <w:rFonts w:hint="eastAsia" w:ascii="黑体" w:hAnsi="黑体" w:eastAsia="黑体" w:cs="黑体"/>
          <w:b w:val="0"/>
          <w:bCs w:val="0"/>
          <w:sz w:val="32"/>
          <w:szCs w:val="32"/>
        </w:rPr>
        <w:br w:type="page"/>
      </w:r>
    </w:p>
    <w:p>
      <w:pPr>
        <w:pStyle w:val="16"/>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单位</w:t>
      </w:r>
      <w:r>
        <w:rPr>
          <w:rFonts w:hint="eastAsia" w:ascii="黑体" w:hAnsi="黑体" w:eastAsia="黑体" w:cs="黑体"/>
          <w:b w:val="0"/>
          <w:bCs w:val="0"/>
          <w:sz w:val="32"/>
          <w:szCs w:val="32"/>
        </w:rPr>
        <w:t>职责</w:t>
      </w:r>
    </w:p>
    <w:p>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一）</w:t>
      </w:r>
      <w:r>
        <w:rPr>
          <w:rFonts w:hint="eastAsia" w:ascii="Times New Roman" w:hAnsi="Times New Roman" w:eastAsia="仿宋_GB2312" w:cs="仿宋_GB2312"/>
          <w:bCs/>
          <w:kern w:val="0"/>
          <w:sz w:val="32"/>
          <w:szCs w:val="32"/>
        </w:rPr>
        <w:t>承担网络交易监测、广告监测相关事务性工作。</w:t>
      </w:r>
    </w:p>
    <w:p>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二）</w:t>
      </w:r>
      <w:r>
        <w:rPr>
          <w:rFonts w:hint="eastAsia" w:ascii="Times New Roman" w:hAnsi="Times New Roman" w:eastAsia="仿宋_GB2312" w:cs="仿宋_GB2312"/>
          <w:bCs/>
          <w:kern w:val="0"/>
          <w:sz w:val="32"/>
          <w:szCs w:val="32"/>
        </w:rPr>
        <w:t>开展网络交易、广告违法线索电子取证和固证工作。</w:t>
      </w:r>
    </w:p>
    <w:p>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三）</w:t>
      </w:r>
      <w:r>
        <w:rPr>
          <w:rFonts w:hint="eastAsia" w:ascii="Times New Roman" w:hAnsi="Times New Roman" w:eastAsia="仿宋_GB2312" w:cs="仿宋_GB2312"/>
          <w:bCs/>
          <w:kern w:val="0"/>
          <w:sz w:val="32"/>
          <w:szCs w:val="32"/>
        </w:rPr>
        <w:t>协助指导督促网络交易平台经营者落实主体责任；协助指导参与全省网络交易监测、广告监测平台的规划、建设及管理；协助网络交易、广告</w:t>
      </w:r>
      <w:r>
        <w:rPr>
          <w:rFonts w:hint="eastAsia" w:ascii="Times New Roman" w:hAnsi="Times New Roman" w:eastAsia="仿宋_GB2312" w:cs="仿宋_GB2312"/>
          <w:bCs/>
          <w:kern w:val="0"/>
          <w:sz w:val="32"/>
          <w:szCs w:val="32"/>
          <w:lang w:eastAsia="zh-CN"/>
        </w:rPr>
        <w:t>经营</w:t>
      </w:r>
      <w:r>
        <w:rPr>
          <w:rFonts w:hint="eastAsia" w:ascii="Times New Roman" w:hAnsi="Times New Roman" w:eastAsia="仿宋_GB2312" w:cs="仿宋_GB2312"/>
          <w:bCs/>
          <w:kern w:val="0"/>
          <w:sz w:val="32"/>
          <w:szCs w:val="32"/>
        </w:rPr>
        <w:t>者信用监管相关事务性工作。</w:t>
      </w:r>
    </w:p>
    <w:p>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四）</w:t>
      </w:r>
      <w:r>
        <w:rPr>
          <w:rFonts w:hint="eastAsia" w:ascii="Times New Roman" w:hAnsi="Times New Roman" w:eastAsia="仿宋_GB2312" w:cs="仿宋_GB2312"/>
          <w:bCs/>
          <w:kern w:val="0"/>
          <w:sz w:val="32"/>
          <w:szCs w:val="32"/>
        </w:rPr>
        <w:t>开展网络交易监测、广告监测学术研究和交流合作。</w:t>
      </w:r>
    </w:p>
    <w:p>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五）</w:t>
      </w:r>
      <w:r>
        <w:rPr>
          <w:rFonts w:hint="eastAsia" w:ascii="Times New Roman" w:hAnsi="Times New Roman" w:eastAsia="仿宋_GB2312" w:cs="仿宋_GB2312"/>
          <w:bCs/>
          <w:kern w:val="0"/>
          <w:sz w:val="32"/>
          <w:szCs w:val="32"/>
        </w:rPr>
        <w:t>完成省市场监督管理局交办的其他任务。</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bookmarkStart w:id="2" w:name="OLE_LINK3"/>
      <w:r>
        <w:rPr>
          <w:rFonts w:hint="eastAsia" w:ascii="仿宋" w:hAnsi="仿宋" w:eastAsia="仿宋" w:cs="仿宋"/>
          <w:bCs/>
          <w:kern w:val="0"/>
          <w:sz w:val="32"/>
          <w:szCs w:val="32"/>
        </w:rPr>
        <w:t>湖南省</w:t>
      </w:r>
      <w:r>
        <w:rPr>
          <w:rFonts w:hint="eastAsia" w:ascii="仿宋" w:hAnsi="仿宋" w:eastAsia="仿宋" w:cs="仿宋"/>
          <w:bCs/>
          <w:kern w:val="0"/>
          <w:sz w:val="32"/>
          <w:szCs w:val="32"/>
          <w:lang w:eastAsia="zh-CN"/>
        </w:rPr>
        <w:t>网络商品交易监测</w:t>
      </w:r>
      <w:r>
        <w:rPr>
          <w:rFonts w:hint="eastAsia" w:ascii="仿宋" w:hAnsi="仿宋" w:eastAsia="仿宋" w:cs="仿宋"/>
          <w:bCs/>
          <w:kern w:val="0"/>
          <w:sz w:val="32"/>
          <w:szCs w:val="32"/>
        </w:rPr>
        <w:t>中心</w:t>
      </w:r>
      <w:bookmarkEnd w:id="2"/>
      <w:r>
        <w:rPr>
          <w:rFonts w:hint="eastAsia" w:ascii="仿宋" w:hAnsi="仿宋" w:eastAsia="仿宋" w:cs="仿宋"/>
          <w:bCs/>
          <w:kern w:val="0"/>
          <w:sz w:val="32"/>
          <w:szCs w:val="32"/>
          <w:lang w:eastAsia="zh-CN"/>
        </w:rPr>
        <w:t>单位</w:t>
      </w:r>
      <w:r>
        <w:rPr>
          <w:rFonts w:hint="eastAsia" w:ascii="Times New Roman" w:hAnsi="Times New Roman" w:eastAsia="仿宋_GB2312" w:cs="仿宋_GB2312"/>
          <w:bCs/>
          <w:kern w:val="0"/>
          <w:sz w:val="32"/>
          <w:szCs w:val="32"/>
        </w:rPr>
        <w:t>内设机构包括：</w:t>
      </w:r>
      <w:r>
        <w:rPr>
          <w:rFonts w:hint="eastAsia" w:ascii="仿宋" w:hAnsi="仿宋" w:eastAsia="仿宋" w:cs="仿宋"/>
          <w:sz w:val="32"/>
          <w:szCs w:val="32"/>
          <w:highlight w:val="none"/>
          <w:shd w:val="clear" w:color="auto" w:fill="auto"/>
          <w:lang w:val="en-US" w:eastAsia="zh-CN"/>
        </w:rPr>
        <w:t>综合部、网络交易及广告监测部。</w:t>
      </w:r>
    </w:p>
    <w:p>
      <w:pPr>
        <w:widowControl/>
        <w:spacing w:line="600" w:lineRule="exact"/>
        <w:rPr>
          <w:rFonts w:hint="eastAsia" w:ascii="Times New Roman" w:hAnsi="Times New Roman" w:eastAsia="仿宋" w:cs="仿宋_GB2312"/>
          <w:bCs/>
          <w:kern w:val="0"/>
          <w:sz w:val="32"/>
          <w:szCs w:val="32"/>
          <w:lang w:eastAsia="zh-CN"/>
        </w:rPr>
      </w:pPr>
      <w:r>
        <w:rPr>
          <w:rFonts w:hint="eastAsia" w:ascii="Times New Roman" w:hAnsi="Times New Roman" w:eastAsia="仿宋_GB2312" w:cs="仿宋_GB2312"/>
          <w:bCs/>
          <w:kern w:val="0"/>
          <w:sz w:val="32"/>
          <w:szCs w:val="32"/>
        </w:rPr>
        <w:t>（二）决算单位构成。</w:t>
      </w:r>
      <w:r>
        <w:rPr>
          <w:rFonts w:hint="eastAsia" w:ascii="仿宋" w:hAnsi="仿宋" w:eastAsia="仿宋" w:cs="仿宋"/>
          <w:bCs/>
          <w:kern w:val="0"/>
          <w:sz w:val="32"/>
          <w:szCs w:val="32"/>
        </w:rPr>
        <w:t>湖南省</w:t>
      </w:r>
      <w:r>
        <w:rPr>
          <w:rFonts w:hint="eastAsia" w:ascii="仿宋" w:hAnsi="仿宋" w:eastAsia="仿宋" w:cs="仿宋"/>
          <w:bCs/>
          <w:kern w:val="0"/>
          <w:sz w:val="32"/>
          <w:szCs w:val="32"/>
          <w:lang w:eastAsia="zh-CN"/>
        </w:rPr>
        <w:t>网络商品交易监测</w:t>
      </w:r>
      <w:r>
        <w:rPr>
          <w:rFonts w:hint="eastAsia" w:ascii="仿宋" w:hAnsi="仿宋" w:eastAsia="仿宋" w:cs="仿宋"/>
          <w:bCs/>
          <w:kern w:val="0"/>
          <w:sz w:val="32"/>
          <w:szCs w:val="32"/>
        </w:rPr>
        <w:t>中心</w:t>
      </w:r>
      <w:r>
        <w:rPr>
          <w:rFonts w:hint="eastAsia" w:ascii="仿宋" w:hAnsi="仿宋" w:eastAsia="仿宋" w:cs="仿宋"/>
          <w:bCs/>
          <w:kern w:val="0"/>
          <w:sz w:val="32"/>
          <w:szCs w:val="32"/>
          <w:lang w:eastAsia="zh-CN"/>
        </w:rPr>
        <w:t>单位</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w:t>
      </w:r>
      <w:r>
        <w:rPr>
          <w:rFonts w:hint="eastAsia" w:ascii="Times New Roman" w:hAnsi="Times New Roman" w:eastAsia="仿宋_GB2312" w:cs="仿宋_GB2312"/>
          <w:bCs/>
          <w:kern w:val="0"/>
          <w:sz w:val="32"/>
          <w:szCs w:val="32"/>
          <w:lang w:eastAsia="zh-CN"/>
        </w:rPr>
        <w:t>单位</w:t>
      </w:r>
      <w:r>
        <w:rPr>
          <w:rFonts w:hint="eastAsia" w:ascii="Times New Roman" w:hAnsi="Times New Roman" w:eastAsia="仿宋_GB2312" w:cs="仿宋_GB2312"/>
          <w:bCs/>
          <w:kern w:val="0"/>
          <w:sz w:val="32"/>
          <w:szCs w:val="32"/>
        </w:rPr>
        <w:t>决算汇总公开单位构成包括：</w:t>
      </w:r>
      <w:r>
        <w:rPr>
          <w:rFonts w:hint="eastAsia" w:ascii="仿宋" w:hAnsi="仿宋" w:eastAsia="仿宋" w:cs="仿宋"/>
          <w:bCs/>
          <w:kern w:val="0"/>
          <w:sz w:val="32"/>
          <w:szCs w:val="32"/>
        </w:rPr>
        <w:t>湖南省</w:t>
      </w:r>
      <w:r>
        <w:rPr>
          <w:rFonts w:hint="eastAsia" w:ascii="仿宋" w:hAnsi="仿宋" w:eastAsia="仿宋" w:cs="仿宋"/>
          <w:bCs/>
          <w:kern w:val="0"/>
          <w:sz w:val="32"/>
          <w:szCs w:val="32"/>
          <w:lang w:eastAsia="zh-CN"/>
        </w:rPr>
        <w:t>网络商品交易监测</w:t>
      </w:r>
      <w:r>
        <w:rPr>
          <w:rFonts w:hint="eastAsia" w:ascii="仿宋" w:hAnsi="仿宋" w:eastAsia="仿宋" w:cs="仿宋"/>
          <w:bCs/>
          <w:kern w:val="0"/>
          <w:sz w:val="32"/>
          <w:szCs w:val="32"/>
        </w:rPr>
        <w:t>中心本级</w:t>
      </w:r>
      <w:r>
        <w:rPr>
          <w:rFonts w:hint="eastAsia" w:ascii="仿宋" w:hAnsi="仿宋" w:eastAsia="仿宋" w:cs="仿宋"/>
          <w:bCs/>
          <w:kern w:val="0"/>
          <w:sz w:val="32"/>
          <w:szCs w:val="32"/>
          <w:lang w:eastAsia="zh-CN"/>
        </w:rPr>
        <w:t>。</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单位</w:t>
      </w:r>
      <w:r>
        <w:rPr>
          <w:rFonts w:hint="eastAsia" w:ascii="方正小标宋_GBK" w:hAnsi="方正小标宋_GBK" w:eastAsia="方正小标宋_GBK" w:cs="方正小标宋_GBK"/>
          <w:sz w:val="84"/>
          <w:szCs w:val="84"/>
        </w:rPr>
        <w:t>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rPr>
          <w:rFonts w:hint="eastAsia" w:eastAsia="等线"/>
          <w:lang w:eastAsia="zh-CN"/>
        </w:rPr>
      </w:pPr>
    </w:p>
    <w:tbl>
      <w:tblPr>
        <w:tblStyle w:val="11"/>
        <w:tblW w:w="1616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615"/>
        <w:gridCol w:w="986"/>
        <w:gridCol w:w="1647"/>
        <w:gridCol w:w="5286"/>
        <w:gridCol w:w="986"/>
        <w:gridCol w:w="16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0" w:hRule="atLeast"/>
        </w:trPr>
        <w:tc>
          <w:tcPr>
            <w:tcW w:w="16169"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5615"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986"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647"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5286"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2635" w:type="dxa"/>
            <w:gridSpan w:val="2"/>
            <w:tcBorders>
              <w:top w:val="nil"/>
              <w:left w:val="nil"/>
              <w:bottom w:val="nil"/>
              <w:right w:val="nil"/>
            </w:tcBorders>
            <w:shd w:val="clear" w:color="auto" w:fill="FFFFFF"/>
            <w:vAlign w:val="center"/>
          </w:tcPr>
          <w:p>
            <w:pPr>
              <w:keepNext w:val="0"/>
              <w:keepLines w:val="0"/>
              <w:widowControl/>
              <w:suppressLineNumbers w:val="0"/>
              <w:ind w:firstLine="1200" w:firstLineChars="60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3534" w:type="dxa"/>
            <w:gridSpan w:val="4"/>
            <w:tcBorders>
              <w:top w:val="nil"/>
              <w:left w:val="nil"/>
              <w:bottom w:val="nil"/>
              <w:right w:val="nil"/>
            </w:tcBorders>
            <w:shd w:val="clear" w:color="auto" w:fill="FFFFFF"/>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单位：湖南省网络商品交易监测中心</w:t>
            </w:r>
          </w:p>
        </w:tc>
        <w:tc>
          <w:tcPr>
            <w:tcW w:w="2635" w:type="dxa"/>
            <w:gridSpan w:val="2"/>
            <w:tcBorders>
              <w:top w:val="nil"/>
              <w:left w:val="nil"/>
              <w:bottom w:val="nil"/>
              <w:right w:val="nil"/>
            </w:tcBorders>
            <w:shd w:val="clear" w:color="auto" w:fill="FFFFFF"/>
            <w:vAlign w:val="center"/>
          </w:tcPr>
          <w:p>
            <w:pPr>
              <w:keepNext w:val="0"/>
              <w:keepLines w:val="0"/>
              <w:widowControl/>
              <w:suppressLineNumbers w:val="0"/>
              <w:ind w:firstLine="1200" w:firstLineChars="60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8248"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收入</w:t>
            </w:r>
          </w:p>
        </w:tc>
        <w:tc>
          <w:tcPr>
            <w:tcW w:w="792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一、一般公共预算财政拨款收入</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1,142.71</w:t>
            </w: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453.38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二、政府性基金预算财政拨款收入</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二、外交支出</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三、国有资本经营预算财政拨款收入</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三、国防支出</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四、上级补助收入</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四、公共安全支出</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五、事业收入</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五、教育支出</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六、经营收入</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六、科学技术支出</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七、附属单位上缴收入</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八、其他收入</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194.09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九、卫生健康支出</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十、节能环保支出</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十一、城乡社区支出</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十二、农林水支出</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十三、交通运输支出</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十六、金融支出</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十九、住房保障支出</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二十三、其他支出</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0"/>
                <w:szCs w:val="20"/>
                <w:u w:val="none"/>
              </w:rPr>
            </w:pP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0"/>
                <w:szCs w:val="20"/>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0"/>
                <w:szCs w:val="20"/>
                <w:u w:val="none"/>
              </w:rPr>
            </w:pP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0"/>
                <w:szCs w:val="20"/>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0"/>
                <w:szCs w:val="20"/>
                <w:u w:val="none"/>
              </w:rPr>
            </w:pP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1,142.71</w:t>
            </w: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使用非财政拨款结余和专用结余</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结余分配</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年初结转和结余</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年末结转和结余</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6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1,142.71</w:t>
            </w:r>
          </w:p>
        </w:tc>
        <w:tc>
          <w:tcPr>
            <w:tcW w:w="52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16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1,142.71</w:t>
            </w:r>
          </w:p>
        </w:tc>
      </w:tr>
    </w:tbl>
    <w:p>
      <w:pP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注：1.本表反映单位本年度的总收支和年末结转结余情况。</w:t>
      </w:r>
    </w:p>
    <w:p>
      <w:pPr>
        <w:ind w:firstLine="440" w:firstLineChars="200"/>
        <w:rPr>
          <w:rFonts w:hint="default"/>
        </w:rPr>
        <w:sectPr>
          <w:pgSz w:w="16840" w:h="11900" w:orient="landscape"/>
          <w:pgMar w:top="1083" w:right="403" w:bottom="1083" w:left="403" w:header="0" w:footer="0" w:gutter="0"/>
          <w:cols w:space="0" w:num="1"/>
          <w:docGrid w:linePitch="312" w:charSpace="0"/>
        </w:sectPr>
      </w:pPr>
      <w:r>
        <w:rPr>
          <w:rFonts w:hint="eastAsia" w:ascii="宋体" w:hAnsi="宋体" w:eastAsia="宋体" w:cs="宋体"/>
          <w:i w:val="0"/>
          <w:iCs w:val="0"/>
          <w:color w:val="000000"/>
          <w:kern w:val="0"/>
          <w:sz w:val="22"/>
          <w:szCs w:val="22"/>
          <w:u w:val="none"/>
          <w:lang w:val="en-US" w:eastAsia="zh-CN" w:bidi="ar"/>
        </w:rPr>
        <w:t>2.本套报表金额单位转换时可能存在尾数误差。</w:t>
      </w:r>
    </w:p>
    <w:p>
      <w:pPr>
        <w:rPr>
          <w:rFonts w:hint="eastAsia" w:eastAsia="等线"/>
          <w:lang w:eastAsia="zh-CN"/>
        </w:rPr>
      </w:pPr>
    </w:p>
    <w:tbl>
      <w:tblPr>
        <w:tblStyle w:val="11"/>
        <w:tblW w:w="162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29"/>
        <w:gridCol w:w="329"/>
        <w:gridCol w:w="328"/>
        <w:gridCol w:w="4432"/>
        <w:gridCol w:w="1732"/>
        <w:gridCol w:w="1732"/>
        <w:gridCol w:w="1468"/>
        <w:gridCol w:w="1468"/>
        <w:gridCol w:w="1481"/>
        <w:gridCol w:w="1469"/>
        <w:gridCol w:w="14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0" w:hRule="atLeast"/>
        </w:trPr>
        <w:tc>
          <w:tcPr>
            <w:tcW w:w="16250" w:type="dxa"/>
            <w:gridSpan w:val="11"/>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329"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329"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328"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4432"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732"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732"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468"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468"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481"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2951" w:type="dxa"/>
            <w:gridSpan w:val="2"/>
            <w:tcBorders>
              <w:top w:val="nil"/>
              <w:left w:val="nil"/>
              <w:bottom w:val="nil"/>
              <w:right w:val="nil"/>
            </w:tcBorders>
            <w:shd w:val="clear" w:color="auto" w:fill="FFFFFF"/>
            <w:vAlign w:val="center"/>
          </w:tcPr>
          <w:p>
            <w:pPr>
              <w:keepNext w:val="0"/>
              <w:keepLines w:val="0"/>
              <w:widowControl/>
              <w:suppressLineNumbers w:val="0"/>
              <w:ind w:firstLine="1400" w:firstLineChars="70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6250" w:type="dxa"/>
            <w:gridSpan w:val="11"/>
            <w:tcBorders>
              <w:top w:val="nil"/>
              <w:left w:val="nil"/>
              <w:bottom w:val="nil"/>
              <w:right w:val="nil"/>
            </w:tcBorders>
            <w:shd w:val="clear" w:color="auto" w:fill="FFFFFF"/>
            <w:vAlign w:val="center"/>
          </w:tcPr>
          <w:p>
            <w:pPr>
              <w:keepNext w:val="0"/>
              <w:keepLines w:val="0"/>
              <w:widowControl/>
              <w:suppressLineNumbers w:val="0"/>
              <w:jc w:val="lef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单位：湖南省网络商品交易监测中心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418"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73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本年收入合计</w:t>
            </w:r>
          </w:p>
        </w:tc>
        <w:tc>
          <w:tcPr>
            <w:tcW w:w="173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财政拨款收入</w:t>
            </w:r>
          </w:p>
        </w:tc>
        <w:tc>
          <w:tcPr>
            <w:tcW w:w="146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上级补助收入</w:t>
            </w:r>
          </w:p>
        </w:tc>
        <w:tc>
          <w:tcPr>
            <w:tcW w:w="146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事业收入</w:t>
            </w:r>
          </w:p>
        </w:tc>
        <w:tc>
          <w:tcPr>
            <w:tcW w:w="148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经营收入</w:t>
            </w:r>
          </w:p>
        </w:tc>
        <w:tc>
          <w:tcPr>
            <w:tcW w:w="146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附属单位上缴收入</w:t>
            </w:r>
          </w:p>
        </w:tc>
        <w:tc>
          <w:tcPr>
            <w:tcW w:w="148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6"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功能分类科目编码</w:t>
            </w:r>
          </w:p>
        </w:tc>
        <w:tc>
          <w:tcPr>
            <w:tcW w:w="443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732"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732"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468"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468"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48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469"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482"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6" w:type="dxa"/>
            <w:gridSpan w:val="3"/>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4432"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732"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732"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468"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468"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48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469"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482"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6" w:type="dxa"/>
            <w:gridSpan w:val="3"/>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4432"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732"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732"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468"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468"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48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469"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482"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418"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4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4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418"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1,142.71</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1,142.71</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4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w:t>
            </w:r>
          </w:p>
        </w:tc>
        <w:tc>
          <w:tcPr>
            <w:tcW w:w="44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一般公共服务支出</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834.69</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834.69</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20138</w:t>
            </w:r>
          </w:p>
        </w:tc>
        <w:tc>
          <w:tcPr>
            <w:tcW w:w="44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市场监督管理事务</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834.69</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834.69</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2013850</w:t>
            </w:r>
          </w:p>
        </w:tc>
        <w:tc>
          <w:tcPr>
            <w:tcW w:w="44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事业运行</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834.69</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834.69</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44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233.86</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233.86</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w:t>
            </w:r>
          </w:p>
        </w:tc>
        <w:tc>
          <w:tcPr>
            <w:tcW w:w="44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228.25</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228.25</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2080502</w:t>
            </w:r>
          </w:p>
        </w:tc>
        <w:tc>
          <w:tcPr>
            <w:tcW w:w="44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事业单位离退休</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186.80</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186.80</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44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41.45</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41.45</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20899</w:t>
            </w:r>
          </w:p>
        </w:tc>
        <w:tc>
          <w:tcPr>
            <w:tcW w:w="44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其他社会保障和就业支出</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5.61</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5.61</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2089999</w:t>
            </w:r>
          </w:p>
        </w:tc>
        <w:tc>
          <w:tcPr>
            <w:tcW w:w="44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其他社会保障和就业支出</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5.61</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5.61</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44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卫生健康支出</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31.30</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31.30</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21011</w:t>
            </w:r>
          </w:p>
        </w:tc>
        <w:tc>
          <w:tcPr>
            <w:tcW w:w="44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行政事业单位医疗</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31.30</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31.30</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2101102</w:t>
            </w:r>
          </w:p>
        </w:tc>
        <w:tc>
          <w:tcPr>
            <w:tcW w:w="44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事业单位医疗</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31.30</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31.30</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44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住房保障支出</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42.86</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42.86</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w:t>
            </w:r>
          </w:p>
        </w:tc>
        <w:tc>
          <w:tcPr>
            <w:tcW w:w="44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住房改革支出</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42.86</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42.86</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44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42.86</w:t>
            </w:r>
          </w:p>
        </w:tc>
        <w:tc>
          <w:tcPr>
            <w:tcW w:w="1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42.86</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bl>
    <w:p>
      <w:pPr>
        <w:rPr>
          <w:rFonts w:hint="default"/>
        </w:rPr>
        <w:sectPr>
          <w:pgSz w:w="16840" w:h="11900" w:orient="landscape"/>
          <w:pgMar w:top="1083" w:right="403" w:bottom="1083" w:left="403" w:header="0" w:footer="0" w:gutter="0"/>
          <w:cols w:space="0" w:num="1"/>
          <w:docGrid w:linePitch="312" w:charSpace="0"/>
        </w:sectPr>
      </w:pPr>
      <w:r>
        <w:rPr>
          <w:rFonts w:hint="eastAsia" w:ascii="宋体" w:hAnsi="宋体" w:eastAsia="宋体" w:cs="宋体"/>
          <w:i w:val="0"/>
          <w:iCs w:val="0"/>
          <w:color w:val="000000"/>
          <w:kern w:val="0"/>
          <w:sz w:val="22"/>
          <w:szCs w:val="22"/>
          <w:u w:val="none"/>
          <w:lang w:val="en-US" w:eastAsia="zh-CN" w:bidi="ar"/>
        </w:rPr>
        <w:t>注：本表反映单位本年度取得的各项收入情况。</w:t>
      </w:r>
    </w:p>
    <w:p>
      <w:pPr>
        <w:rPr>
          <w:rFonts w:hint="eastAsia" w:eastAsia="等线"/>
          <w:lang w:eastAsia="zh-CN"/>
        </w:rPr>
      </w:pPr>
    </w:p>
    <w:tbl>
      <w:tblPr>
        <w:tblStyle w:val="11"/>
        <w:tblW w:w="1616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29"/>
        <w:gridCol w:w="329"/>
        <w:gridCol w:w="329"/>
        <w:gridCol w:w="4871"/>
        <w:gridCol w:w="1769"/>
        <w:gridCol w:w="1769"/>
        <w:gridCol w:w="1726"/>
        <w:gridCol w:w="1682"/>
        <w:gridCol w:w="1682"/>
        <w:gridCol w:w="16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0" w:hRule="atLeast"/>
        </w:trPr>
        <w:tc>
          <w:tcPr>
            <w:tcW w:w="16169" w:type="dxa"/>
            <w:gridSpan w:val="10"/>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329"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329"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329"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4871"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769"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769"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726"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682"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3365" w:type="dxa"/>
            <w:gridSpan w:val="2"/>
            <w:tcBorders>
              <w:top w:val="nil"/>
              <w:left w:val="nil"/>
              <w:bottom w:val="nil"/>
              <w:right w:val="nil"/>
            </w:tcBorders>
            <w:shd w:val="clear" w:color="auto" w:fill="FFFFFF"/>
            <w:vAlign w:val="center"/>
          </w:tcPr>
          <w:p>
            <w:pPr>
              <w:keepNext w:val="0"/>
              <w:keepLines w:val="0"/>
              <w:widowControl/>
              <w:suppressLineNumbers w:val="0"/>
              <w:ind w:firstLine="1800" w:firstLineChars="90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5858" w:type="dxa"/>
            <w:gridSpan w:val="4"/>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0"/>
                <w:szCs w:val="20"/>
                <w:u w:val="none"/>
                <w:lang w:eastAsia="zh-CN"/>
              </w:rPr>
              <w:t>单位：湖南省网络商品交易监测中心</w:t>
            </w:r>
          </w:p>
        </w:tc>
        <w:tc>
          <w:tcPr>
            <w:tcW w:w="1769"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769"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726"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682"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3365" w:type="dxa"/>
            <w:gridSpan w:val="2"/>
            <w:tcBorders>
              <w:top w:val="nil"/>
              <w:left w:val="nil"/>
              <w:bottom w:val="nil"/>
              <w:right w:val="nil"/>
            </w:tcBorders>
            <w:shd w:val="clear" w:color="auto" w:fill="FFFFFF"/>
            <w:vAlign w:val="center"/>
          </w:tcPr>
          <w:p>
            <w:pPr>
              <w:keepNext w:val="0"/>
              <w:keepLines w:val="0"/>
              <w:widowControl/>
              <w:suppressLineNumbers w:val="0"/>
              <w:ind w:firstLine="1800" w:firstLineChars="900"/>
              <w:jc w:val="lef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858"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76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本年支出合计</w:t>
            </w:r>
          </w:p>
        </w:tc>
        <w:tc>
          <w:tcPr>
            <w:tcW w:w="176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172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168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上缴上级支出</w:t>
            </w:r>
          </w:p>
        </w:tc>
        <w:tc>
          <w:tcPr>
            <w:tcW w:w="168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经营支出</w:t>
            </w:r>
          </w:p>
        </w:tc>
        <w:tc>
          <w:tcPr>
            <w:tcW w:w="168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7"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功能分类科目编码</w:t>
            </w:r>
          </w:p>
        </w:tc>
        <w:tc>
          <w:tcPr>
            <w:tcW w:w="487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726"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683"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7" w:type="dxa"/>
            <w:gridSpan w:val="3"/>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487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726"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683"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7" w:type="dxa"/>
            <w:gridSpan w:val="3"/>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487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726"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682"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683"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858"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7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6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858"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721.63</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625.92</w:t>
            </w:r>
          </w:p>
        </w:tc>
        <w:tc>
          <w:tcPr>
            <w:tcW w:w="17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95.71</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6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w:t>
            </w:r>
          </w:p>
        </w:tc>
        <w:tc>
          <w:tcPr>
            <w:tcW w:w="4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一般公共服务支出</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453.38</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387.20</w:t>
            </w:r>
          </w:p>
        </w:tc>
        <w:tc>
          <w:tcPr>
            <w:tcW w:w="17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66.18</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20138</w:t>
            </w:r>
          </w:p>
        </w:tc>
        <w:tc>
          <w:tcPr>
            <w:tcW w:w="4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市场监督管理事务</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453.38</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387.20</w:t>
            </w:r>
          </w:p>
        </w:tc>
        <w:tc>
          <w:tcPr>
            <w:tcW w:w="17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66.18</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2013850</w:t>
            </w:r>
          </w:p>
        </w:tc>
        <w:tc>
          <w:tcPr>
            <w:tcW w:w="4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事业运行</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453.38</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387.20</w:t>
            </w:r>
          </w:p>
        </w:tc>
        <w:tc>
          <w:tcPr>
            <w:tcW w:w="17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66.18</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4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194.09</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164.56</w:t>
            </w:r>
          </w:p>
        </w:tc>
        <w:tc>
          <w:tcPr>
            <w:tcW w:w="17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29.53</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w:t>
            </w:r>
          </w:p>
        </w:tc>
        <w:tc>
          <w:tcPr>
            <w:tcW w:w="4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188.48</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158.95</w:t>
            </w:r>
          </w:p>
        </w:tc>
        <w:tc>
          <w:tcPr>
            <w:tcW w:w="17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29.53</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2080502</w:t>
            </w:r>
          </w:p>
        </w:tc>
        <w:tc>
          <w:tcPr>
            <w:tcW w:w="4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事业单位离退休</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147.96</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118.43</w:t>
            </w:r>
          </w:p>
        </w:tc>
        <w:tc>
          <w:tcPr>
            <w:tcW w:w="17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29.53</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4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40.52</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40.52</w:t>
            </w:r>
          </w:p>
        </w:tc>
        <w:tc>
          <w:tcPr>
            <w:tcW w:w="17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20899</w:t>
            </w:r>
          </w:p>
        </w:tc>
        <w:tc>
          <w:tcPr>
            <w:tcW w:w="4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其他社会保障和就业支出</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5.61</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5.61</w:t>
            </w:r>
          </w:p>
        </w:tc>
        <w:tc>
          <w:tcPr>
            <w:tcW w:w="17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2089999</w:t>
            </w:r>
          </w:p>
        </w:tc>
        <w:tc>
          <w:tcPr>
            <w:tcW w:w="4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其他社会保障和就业支出</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5.61</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5.61</w:t>
            </w:r>
          </w:p>
        </w:tc>
        <w:tc>
          <w:tcPr>
            <w:tcW w:w="17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4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卫生健康支出</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31.30</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31.30</w:t>
            </w:r>
          </w:p>
        </w:tc>
        <w:tc>
          <w:tcPr>
            <w:tcW w:w="17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21011</w:t>
            </w:r>
          </w:p>
        </w:tc>
        <w:tc>
          <w:tcPr>
            <w:tcW w:w="4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行政事业单位医疗</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31.30</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31.30</w:t>
            </w:r>
          </w:p>
        </w:tc>
        <w:tc>
          <w:tcPr>
            <w:tcW w:w="17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2101102</w:t>
            </w:r>
          </w:p>
        </w:tc>
        <w:tc>
          <w:tcPr>
            <w:tcW w:w="4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事业单位医疗</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31.30</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31.30</w:t>
            </w:r>
          </w:p>
        </w:tc>
        <w:tc>
          <w:tcPr>
            <w:tcW w:w="17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4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住房保障支出</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42.86</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42.86</w:t>
            </w:r>
          </w:p>
        </w:tc>
        <w:tc>
          <w:tcPr>
            <w:tcW w:w="17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w:t>
            </w:r>
          </w:p>
        </w:tc>
        <w:tc>
          <w:tcPr>
            <w:tcW w:w="4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住房改革支出</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42.86</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42.86</w:t>
            </w:r>
          </w:p>
        </w:tc>
        <w:tc>
          <w:tcPr>
            <w:tcW w:w="17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8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4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42.86</w:t>
            </w:r>
          </w:p>
        </w:tc>
        <w:tc>
          <w:tcPr>
            <w:tcW w:w="17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42.86</w:t>
            </w:r>
          </w:p>
        </w:tc>
        <w:tc>
          <w:tcPr>
            <w:tcW w:w="17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bl>
    <w:p>
      <w:pPr>
        <w:rPr>
          <w:rFonts w:hint="default"/>
        </w:rPr>
        <w:sectPr>
          <w:pgSz w:w="16840" w:h="11900" w:orient="landscape"/>
          <w:pgMar w:top="1083" w:right="403" w:bottom="1083" w:left="403" w:header="0" w:footer="0" w:gutter="0"/>
          <w:cols w:space="0" w:num="1"/>
          <w:docGrid w:linePitch="312" w:charSpace="0"/>
        </w:sectPr>
      </w:pPr>
      <w:r>
        <w:rPr>
          <w:rFonts w:hint="eastAsia" w:ascii="宋体" w:hAnsi="宋体" w:eastAsia="宋体" w:cs="宋体"/>
          <w:i w:val="0"/>
          <w:iCs w:val="0"/>
          <w:color w:val="000000"/>
          <w:kern w:val="0"/>
          <w:sz w:val="22"/>
          <w:szCs w:val="22"/>
          <w:u w:val="none"/>
          <w:lang w:val="en-US" w:eastAsia="zh-CN" w:bidi="ar"/>
        </w:rPr>
        <w:t>注：本表反映单位本年度各项支出情况。</w:t>
      </w:r>
    </w:p>
    <w:p>
      <w:pPr>
        <w:rPr>
          <w:rFonts w:hint="eastAsia" w:eastAsia="等线"/>
          <w:lang w:eastAsia="zh-CN"/>
        </w:rPr>
      </w:pPr>
    </w:p>
    <w:tbl>
      <w:tblPr>
        <w:tblStyle w:val="11"/>
        <w:tblW w:w="1615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753"/>
        <w:gridCol w:w="580"/>
        <w:gridCol w:w="1584"/>
        <w:gridCol w:w="4085"/>
        <w:gridCol w:w="580"/>
        <w:gridCol w:w="1252"/>
        <w:gridCol w:w="1584"/>
        <w:gridCol w:w="1335"/>
        <w:gridCol w:w="14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0" w:hRule="atLeast"/>
        </w:trPr>
        <w:tc>
          <w:tcPr>
            <w:tcW w:w="16157" w:type="dxa"/>
            <w:gridSpan w:val="9"/>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3753"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580"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584"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4085"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580"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252"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584"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2739" w:type="dxa"/>
            <w:gridSpan w:val="2"/>
            <w:tcBorders>
              <w:top w:val="nil"/>
              <w:left w:val="nil"/>
              <w:bottom w:val="nil"/>
              <w:right w:val="nil"/>
            </w:tcBorders>
            <w:shd w:val="clear" w:color="auto" w:fill="FFFFFF"/>
            <w:vAlign w:val="center"/>
          </w:tcPr>
          <w:p>
            <w:pPr>
              <w:keepNext w:val="0"/>
              <w:keepLines w:val="0"/>
              <w:widowControl/>
              <w:suppressLineNumbers w:val="0"/>
              <w:ind w:firstLine="1400" w:firstLineChars="70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3418" w:type="dxa"/>
            <w:gridSpan w:val="7"/>
            <w:tcBorders>
              <w:top w:val="nil"/>
              <w:left w:val="nil"/>
              <w:bottom w:val="nil"/>
              <w:right w:val="nil"/>
            </w:tcBorders>
            <w:shd w:val="clear" w:color="auto" w:fill="FFFFFF"/>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单位：湖南省网络商品交易监测中心</w:t>
            </w:r>
          </w:p>
        </w:tc>
        <w:tc>
          <w:tcPr>
            <w:tcW w:w="2739" w:type="dxa"/>
            <w:gridSpan w:val="2"/>
            <w:tcBorders>
              <w:top w:val="nil"/>
              <w:left w:val="nil"/>
              <w:bottom w:val="nil"/>
              <w:right w:val="nil"/>
            </w:tcBorders>
            <w:shd w:val="clear" w:color="auto" w:fill="FFFFFF"/>
            <w:vAlign w:val="center"/>
          </w:tcPr>
          <w:p>
            <w:pPr>
              <w:keepNext w:val="0"/>
              <w:keepLines w:val="0"/>
              <w:widowControl/>
              <w:suppressLineNumbers w:val="0"/>
              <w:ind w:firstLine="1400" w:firstLineChars="70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91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     入</w:t>
            </w:r>
          </w:p>
        </w:tc>
        <w:tc>
          <w:tcPr>
            <w:tcW w:w="10240"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375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5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58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408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5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25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58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一般公共预算财政拨款</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政府性基金预算财政拨款</w:t>
            </w:r>
          </w:p>
        </w:tc>
        <w:tc>
          <w:tcPr>
            <w:tcW w:w="140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3753"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58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584"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408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580"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584"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一、一般公共预算财政拨款</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1,142.71</w:t>
            </w: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453.38</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453.38</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二、政府性基金预算财政拨款</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二、外交支出</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三、国有资本经营预算财政拨款</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三、国防支出</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四、公共安全支出</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五、教育支出</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六、科学技术支出</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194.09</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194.09</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九、卫生健康支出</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31.30</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十、节能环保支出</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十一、城乡社区支出</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十二、农林水支出</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十三、交通运输支出</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十六、金融支出</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十九、住房保障支出</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42.86</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42.86</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二十三、其他支出</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0"/>
                <w:szCs w:val="20"/>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0"/>
                <w:szCs w:val="20"/>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1,142.71</w:t>
            </w: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721.63</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721.63</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年初财政拨款结转和结余</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年末财政拨款结转和结余</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421.08</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421.08</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一般公共预算财政拨款</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政府性基金预算财政拨款</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国有资本经营预算财政拨款</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7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1,142.71</w:t>
            </w:r>
          </w:p>
        </w:tc>
        <w:tc>
          <w:tcPr>
            <w:tcW w:w="40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12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1,142.71</w:t>
            </w:r>
          </w:p>
        </w:tc>
        <w:tc>
          <w:tcPr>
            <w:tcW w:w="1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1,142.71</w:t>
            </w:r>
          </w:p>
        </w:tc>
        <w:tc>
          <w:tcPr>
            <w:tcW w:w="13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bl>
    <w:p>
      <w:pPr>
        <w:rPr>
          <w:rFonts w:hint="default"/>
        </w:rPr>
        <w:sectPr>
          <w:pgSz w:w="16840" w:h="11900" w:orient="landscape"/>
          <w:pgMar w:top="1083" w:right="403" w:bottom="1083" w:left="403" w:header="0" w:footer="0" w:gutter="0"/>
          <w:cols w:space="0" w:num="1"/>
          <w:docGrid w:linePitch="312" w:charSpace="0"/>
        </w:sectPr>
      </w:pPr>
      <w:r>
        <w:rPr>
          <w:rFonts w:hint="eastAsia" w:ascii="宋体" w:hAnsi="宋体" w:eastAsia="宋体" w:cs="宋体"/>
          <w:i w:val="0"/>
          <w:iCs w:val="0"/>
          <w:color w:val="000000"/>
          <w:kern w:val="0"/>
          <w:sz w:val="22"/>
          <w:szCs w:val="22"/>
          <w:u w:val="none"/>
          <w:lang w:val="en-US" w:eastAsia="zh-CN" w:bidi="ar"/>
        </w:rPr>
        <w:t>注：本表反映单位本年度一般公共预算财政拨款、政府性基金预算财政拨款和国有资本经营预算财政拨款的总收支和年末结转结余情况。</w:t>
      </w:r>
    </w:p>
    <w:p>
      <w:pPr>
        <w:rPr>
          <w:rFonts w:hint="eastAsia" w:eastAsia="等线"/>
          <w:lang w:eastAsia="zh-CN"/>
        </w:rPr>
      </w:pPr>
    </w:p>
    <w:tbl>
      <w:tblPr>
        <w:tblStyle w:val="11"/>
        <w:tblW w:w="1616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36"/>
        <w:gridCol w:w="536"/>
        <w:gridCol w:w="536"/>
        <w:gridCol w:w="7808"/>
        <w:gridCol w:w="2251"/>
        <w:gridCol w:w="2251"/>
        <w:gridCol w:w="22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0" w:hRule="atLeast"/>
        </w:trPr>
        <w:tc>
          <w:tcPr>
            <w:tcW w:w="16169" w:type="dxa"/>
            <w:gridSpan w:val="7"/>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536"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536"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536"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7808"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2251"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4502" w:type="dxa"/>
            <w:gridSpan w:val="2"/>
            <w:tcBorders>
              <w:top w:val="nil"/>
              <w:left w:val="nil"/>
              <w:bottom w:val="nil"/>
              <w:right w:val="nil"/>
            </w:tcBorders>
            <w:shd w:val="clear" w:color="auto" w:fill="FFFFFF"/>
            <w:vAlign w:val="center"/>
          </w:tcPr>
          <w:p>
            <w:pPr>
              <w:keepNext w:val="0"/>
              <w:keepLines w:val="0"/>
              <w:widowControl/>
              <w:suppressLineNumbers w:val="0"/>
              <w:ind w:firstLine="3000" w:firstLineChars="150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1667" w:type="dxa"/>
            <w:gridSpan w:val="5"/>
            <w:tcBorders>
              <w:top w:val="nil"/>
              <w:left w:val="nil"/>
              <w:bottom w:val="nil"/>
              <w:right w:val="nil"/>
            </w:tcBorders>
            <w:shd w:val="clear" w:color="auto" w:fill="FFFFFF"/>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bookmarkStart w:id="3" w:name="OLE_LINK7"/>
            <w:r>
              <w:rPr>
                <w:rFonts w:hint="eastAsia" w:ascii="宋体" w:hAnsi="宋体" w:eastAsia="宋体" w:cs="宋体"/>
                <w:i w:val="0"/>
                <w:iCs w:val="0"/>
                <w:color w:val="000000"/>
                <w:kern w:val="0"/>
                <w:sz w:val="20"/>
                <w:szCs w:val="20"/>
                <w:u w:val="none"/>
                <w:lang w:val="en-US" w:eastAsia="zh-CN" w:bidi="ar"/>
              </w:rPr>
              <w:t>湖南省网络商品交易监测中心</w:t>
            </w:r>
            <w:bookmarkEnd w:id="3"/>
          </w:p>
        </w:tc>
        <w:tc>
          <w:tcPr>
            <w:tcW w:w="4502" w:type="dxa"/>
            <w:gridSpan w:val="2"/>
            <w:tcBorders>
              <w:top w:val="nil"/>
              <w:left w:val="nil"/>
              <w:bottom w:val="nil"/>
              <w:right w:val="nil"/>
            </w:tcBorders>
            <w:shd w:val="clear" w:color="auto" w:fill="FFFFFF"/>
            <w:vAlign w:val="center"/>
          </w:tcPr>
          <w:p>
            <w:pPr>
              <w:keepNext w:val="0"/>
              <w:keepLines w:val="0"/>
              <w:widowControl/>
              <w:suppressLineNumbers w:val="0"/>
              <w:ind w:firstLine="3000" w:firstLineChars="150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41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675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608"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功能分类科目编码</w:t>
            </w:r>
          </w:p>
        </w:tc>
        <w:tc>
          <w:tcPr>
            <w:tcW w:w="780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225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225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225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608" w:type="dxa"/>
            <w:gridSpan w:val="3"/>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7808"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25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25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25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608" w:type="dxa"/>
            <w:gridSpan w:val="3"/>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7808"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25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25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25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41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41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721.63</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625.92</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95.71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608"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w:t>
            </w:r>
          </w:p>
        </w:tc>
        <w:tc>
          <w:tcPr>
            <w:tcW w:w="7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一般公共服务支出</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453.38</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387.20</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608"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20138</w:t>
            </w:r>
          </w:p>
        </w:tc>
        <w:tc>
          <w:tcPr>
            <w:tcW w:w="7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市场监督管理事务</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453.38</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387.20</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608"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2013850</w:t>
            </w:r>
          </w:p>
        </w:tc>
        <w:tc>
          <w:tcPr>
            <w:tcW w:w="7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事业运行</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453.38</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387.20</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608"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7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194.09</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164.56</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608"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w:t>
            </w:r>
          </w:p>
        </w:tc>
        <w:tc>
          <w:tcPr>
            <w:tcW w:w="7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188.48</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158.95</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608"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2080502</w:t>
            </w:r>
          </w:p>
        </w:tc>
        <w:tc>
          <w:tcPr>
            <w:tcW w:w="7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事业单位离退休</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147.96</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118.43</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608"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7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40.52</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40.52</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608"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20899</w:t>
            </w:r>
          </w:p>
        </w:tc>
        <w:tc>
          <w:tcPr>
            <w:tcW w:w="7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其他社会保障和就业支出</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5.61</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5.61</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608"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2089999</w:t>
            </w:r>
          </w:p>
        </w:tc>
        <w:tc>
          <w:tcPr>
            <w:tcW w:w="7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其他社会保障和就业支出</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5.61</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5.61</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608"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7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卫生健康支出</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31.30</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31.30</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608"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21011</w:t>
            </w:r>
          </w:p>
        </w:tc>
        <w:tc>
          <w:tcPr>
            <w:tcW w:w="7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行政事业单位医疗</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31.30</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31.30</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608"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2101102</w:t>
            </w:r>
          </w:p>
        </w:tc>
        <w:tc>
          <w:tcPr>
            <w:tcW w:w="7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事业单位医疗</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31.30</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31.30</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608"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7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住房保障支出</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42.86</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42.86</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608"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w:t>
            </w:r>
          </w:p>
        </w:tc>
        <w:tc>
          <w:tcPr>
            <w:tcW w:w="7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住房改革支出</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42.86</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42.86</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608"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78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42.86</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42.86</w:t>
            </w:r>
          </w:p>
        </w:tc>
        <w:tc>
          <w:tcPr>
            <w:tcW w:w="22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bl>
    <w:p>
      <w:pPr>
        <w:rPr>
          <w:rFonts w:hint="default"/>
        </w:rPr>
        <w:sectPr>
          <w:pgSz w:w="16840" w:h="11900" w:orient="landscape"/>
          <w:pgMar w:top="1083" w:right="403" w:bottom="1083" w:left="403" w:header="0" w:footer="0" w:gutter="0"/>
          <w:cols w:space="0" w:num="1"/>
          <w:docGrid w:linePitch="312" w:charSpace="0"/>
        </w:sectPr>
      </w:pPr>
      <w:r>
        <w:rPr>
          <w:rFonts w:hint="eastAsia" w:ascii="宋体" w:hAnsi="宋体" w:eastAsia="宋体" w:cs="宋体"/>
          <w:i w:val="0"/>
          <w:iCs w:val="0"/>
          <w:color w:val="000000"/>
          <w:kern w:val="0"/>
          <w:sz w:val="22"/>
          <w:szCs w:val="22"/>
          <w:u w:val="none"/>
          <w:lang w:val="en-US" w:eastAsia="zh-CN" w:bidi="ar"/>
        </w:rPr>
        <w:t>注：本表反映单位本年度一般公共预算财政拨款支出情况。</w:t>
      </w:r>
    </w:p>
    <w:p>
      <w:pPr>
        <w:rPr>
          <w:rFonts w:hint="eastAsia" w:eastAsia="等线"/>
          <w:lang w:eastAsia="zh-CN"/>
        </w:rPr>
      </w:pPr>
    </w:p>
    <w:tbl>
      <w:tblPr>
        <w:tblStyle w:val="11"/>
        <w:tblW w:w="1615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72"/>
        <w:gridCol w:w="3516"/>
        <w:gridCol w:w="876"/>
        <w:gridCol w:w="1072"/>
        <w:gridCol w:w="2416"/>
        <w:gridCol w:w="868"/>
        <w:gridCol w:w="1072"/>
        <w:gridCol w:w="4396"/>
        <w:gridCol w:w="8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0" w:hRule="atLeast"/>
        </w:trPr>
        <w:tc>
          <w:tcPr>
            <w:tcW w:w="16157" w:type="dxa"/>
            <w:gridSpan w:val="9"/>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一般公共预算财政拨款基本支出决算明细表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72"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3516"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876"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072"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2416"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868"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072"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5265" w:type="dxa"/>
            <w:gridSpan w:val="2"/>
            <w:tcBorders>
              <w:top w:val="nil"/>
              <w:left w:val="nil"/>
              <w:bottom w:val="nil"/>
              <w:right w:val="nil"/>
            </w:tcBorders>
            <w:shd w:val="clear" w:color="auto" w:fill="FFFFFF"/>
            <w:vAlign w:val="center"/>
          </w:tcPr>
          <w:p>
            <w:pPr>
              <w:keepNext w:val="0"/>
              <w:keepLines w:val="0"/>
              <w:widowControl/>
              <w:suppressLineNumbers w:val="0"/>
              <w:ind w:firstLine="3800" w:firstLineChars="190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公开06表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4588" w:type="dxa"/>
            <w:gridSpan w:val="2"/>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0"/>
                <w:szCs w:val="20"/>
                <w:u w:val="none"/>
                <w:lang w:eastAsia="zh-CN"/>
              </w:rPr>
              <w:t>单位：湖南省网络商品交易监测中心</w:t>
            </w:r>
          </w:p>
        </w:tc>
        <w:tc>
          <w:tcPr>
            <w:tcW w:w="876"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072"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2416"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868"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072"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5265" w:type="dxa"/>
            <w:gridSpan w:val="2"/>
            <w:tcBorders>
              <w:top w:val="nil"/>
              <w:left w:val="nil"/>
              <w:bottom w:val="nil"/>
              <w:right w:val="nil"/>
            </w:tcBorders>
            <w:shd w:val="clear" w:color="auto" w:fill="FFFFFF"/>
            <w:vAlign w:val="center"/>
          </w:tcPr>
          <w:p>
            <w:pPr>
              <w:keepNext w:val="0"/>
              <w:keepLines w:val="0"/>
              <w:widowControl/>
              <w:suppressLineNumbers w:val="0"/>
              <w:ind w:firstLine="3800" w:firstLineChars="1900"/>
              <w:jc w:val="left"/>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color w:val="000000"/>
                <w:kern w:val="0"/>
                <w:sz w:val="20"/>
                <w:szCs w:val="20"/>
              </w:rPr>
              <w:t>经济分类科目编码</w:t>
            </w:r>
          </w:p>
        </w:tc>
        <w:tc>
          <w:tcPr>
            <w:tcW w:w="35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c>
          <w:tcPr>
            <w:tcW w:w="107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color w:val="000000"/>
                <w:kern w:val="0"/>
                <w:sz w:val="20"/>
                <w:szCs w:val="20"/>
              </w:rPr>
              <w:t>经济分类科目编码</w:t>
            </w:r>
          </w:p>
        </w:tc>
        <w:tc>
          <w:tcPr>
            <w:tcW w:w="24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86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c>
          <w:tcPr>
            <w:tcW w:w="107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color w:val="000000"/>
                <w:kern w:val="0"/>
                <w:sz w:val="20"/>
                <w:szCs w:val="20"/>
              </w:rPr>
              <w:t>经济分类科目编码</w:t>
            </w:r>
          </w:p>
        </w:tc>
        <w:tc>
          <w:tcPr>
            <w:tcW w:w="439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86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3516"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416"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868"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4396"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869"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w:t>
            </w:r>
          </w:p>
        </w:tc>
        <w:tc>
          <w:tcPr>
            <w:tcW w:w="3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工资福利支出</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437.58</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w:t>
            </w:r>
          </w:p>
        </w:tc>
        <w:tc>
          <w:tcPr>
            <w:tcW w:w="2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商品和服务支出</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66.86</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w:t>
            </w:r>
          </w:p>
        </w:tc>
        <w:tc>
          <w:tcPr>
            <w:tcW w:w="4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债务利息及费用支出</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30101</w:t>
            </w:r>
          </w:p>
        </w:tc>
        <w:tc>
          <w:tcPr>
            <w:tcW w:w="3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基本工资</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112.69</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30201</w:t>
            </w:r>
          </w:p>
        </w:tc>
        <w:tc>
          <w:tcPr>
            <w:tcW w:w="2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办公费</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8.67</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30701</w:t>
            </w:r>
          </w:p>
        </w:tc>
        <w:tc>
          <w:tcPr>
            <w:tcW w:w="4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国内债务付息</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30102</w:t>
            </w:r>
          </w:p>
        </w:tc>
        <w:tc>
          <w:tcPr>
            <w:tcW w:w="3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津贴补贴</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17.00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30202</w:t>
            </w:r>
          </w:p>
        </w:tc>
        <w:tc>
          <w:tcPr>
            <w:tcW w:w="2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印刷费</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4.12</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30702</w:t>
            </w:r>
          </w:p>
        </w:tc>
        <w:tc>
          <w:tcPr>
            <w:tcW w:w="4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国外债务付息</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30103</w:t>
            </w:r>
          </w:p>
        </w:tc>
        <w:tc>
          <w:tcPr>
            <w:tcW w:w="3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奖金</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30203</w:t>
            </w:r>
          </w:p>
        </w:tc>
        <w:tc>
          <w:tcPr>
            <w:tcW w:w="2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咨询费</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w:t>
            </w:r>
          </w:p>
        </w:tc>
        <w:tc>
          <w:tcPr>
            <w:tcW w:w="4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资本性支出</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30106</w:t>
            </w:r>
          </w:p>
        </w:tc>
        <w:tc>
          <w:tcPr>
            <w:tcW w:w="3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伙食补助费</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23.91</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30204</w:t>
            </w:r>
          </w:p>
        </w:tc>
        <w:tc>
          <w:tcPr>
            <w:tcW w:w="2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手续费</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31001</w:t>
            </w:r>
          </w:p>
        </w:tc>
        <w:tc>
          <w:tcPr>
            <w:tcW w:w="4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房屋建筑物购建</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30107</w:t>
            </w:r>
          </w:p>
        </w:tc>
        <w:tc>
          <w:tcPr>
            <w:tcW w:w="3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绩效工资</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164.93</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30205</w:t>
            </w:r>
          </w:p>
        </w:tc>
        <w:tc>
          <w:tcPr>
            <w:tcW w:w="2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水费</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31002</w:t>
            </w:r>
          </w:p>
        </w:tc>
        <w:tc>
          <w:tcPr>
            <w:tcW w:w="4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办公设备购置</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30108</w:t>
            </w:r>
          </w:p>
        </w:tc>
        <w:tc>
          <w:tcPr>
            <w:tcW w:w="3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机关事业单位基本养老保险缴费</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40.52</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30206</w:t>
            </w:r>
          </w:p>
        </w:tc>
        <w:tc>
          <w:tcPr>
            <w:tcW w:w="2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电费</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31003</w:t>
            </w:r>
          </w:p>
        </w:tc>
        <w:tc>
          <w:tcPr>
            <w:tcW w:w="4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专用设备购置</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30109</w:t>
            </w:r>
          </w:p>
        </w:tc>
        <w:tc>
          <w:tcPr>
            <w:tcW w:w="3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职业年金缴费</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30207</w:t>
            </w:r>
          </w:p>
        </w:tc>
        <w:tc>
          <w:tcPr>
            <w:tcW w:w="2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邮电费</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1.78</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31005</w:t>
            </w:r>
          </w:p>
        </w:tc>
        <w:tc>
          <w:tcPr>
            <w:tcW w:w="4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基础设施建设</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30110</w:t>
            </w:r>
          </w:p>
        </w:tc>
        <w:tc>
          <w:tcPr>
            <w:tcW w:w="3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职工基本医疗保险缴费</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30.06</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30208</w:t>
            </w:r>
          </w:p>
        </w:tc>
        <w:tc>
          <w:tcPr>
            <w:tcW w:w="2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取暖费</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31006</w:t>
            </w:r>
          </w:p>
        </w:tc>
        <w:tc>
          <w:tcPr>
            <w:tcW w:w="4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大型修缮</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30111</w:t>
            </w:r>
          </w:p>
        </w:tc>
        <w:tc>
          <w:tcPr>
            <w:tcW w:w="3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公务员医疗补助缴费</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30209</w:t>
            </w:r>
          </w:p>
        </w:tc>
        <w:tc>
          <w:tcPr>
            <w:tcW w:w="2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物业管理费</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31007</w:t>
            </w:r>
          </w:p>
        </w:tc>
        <w:tc>
          <w:tcPr>
            <w:tcW w:w="4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信息网络及软件购置更新</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30112</w:t>
            </w:r>
          </w:p>
        </w:tc>
        <w:tc>
          <w:tcPr>
            <w:tcW w:w="3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其他社会保障缴费</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5.61</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30211</w:t>
            </w:r>
          </w:p>
        </w:tc>
        <w:tc>
          <w:tcPr>
            <w:tcW w:w="2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差旅费</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5.71</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31008</w:t>
            </w:r>
          </w:p>
        </w:tc>
        <w:tc>
          <w:tcPr>
            <w:tcW w:w="4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物资储备</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30113</w:t>
            </w:r>
          </w:p>
        </w:tc>
        <w:tc>
          <w:tcPr>
            <w:tcW w:w="3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住房公积金</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42.86</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30212</w:t>
            </w:r>
          </w:p>
        </w:tc>
        <w:tc>
          <w:tcPr>
            <w:tcW w:w="2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因公出国（境）费用</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31009</w:t>
            </w:r>
          </w:p>
        </w:tc>
        <w:tc>
          <w:tcPr>
            <w:tcW w:w="4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土地补偿</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30114</w:t>
            </w:r>
          </w:p>
        </w:tc>
        <w:tc>
          <w:tcPr>
            <w:tcW w:w="3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医疗费</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30213</w:t>
            </w:r>
          </w:p>
        </w:tc>
        <w:tc>
          <w:tcPr>
            <w:tcW w:w="2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维修（护）费</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1.22</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31010</w:t>
            </w:r>
          </w:p>
        </w:tc>
        <w:tc>
          <w:tcPr>
            <w:tcW w:w="4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安置补助</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30199</w:t>
            </w:r>
          </w:p>
        </w:tc>
        <w:tc>
          <w:tcPr>
            <w:tcW w:w="3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其他工资福利支出</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30214</w:t>
            </w:r>
          </w:p>
        </w:tc>
        <w:tc>
          <w:tcPr>
            <w:tcW w:w="2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租赁费</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31011</w:t>
            </w:r>
          </w:p>
        </w:tc>
        <w:tc>
          <w:tcPr>
            <w:tcW w:w="4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地上附着物和青苗补偿</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w:t>
            </w:r>
          </w:p>
        </w:tc>
        <w:tc>
          <w:tcPr>
            <w:tcW w:w="3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对个人和家庭的补助</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121.48</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30215</w:t>
            </w:r>
          </w:p>
        </w:tc>
        <w:tc>
          <w:tcPr>
            <w:tcW w:w="2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会议费</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31012</w:t>
            </w:r>
          </w:p>
        </w:tc>
        <w:tc>
          <w:tcPr>
            <w:tcW w:w="4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拆迁补偿</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30301</w:t>
            </w:r>
          </w:p>
        </w:tc>
        <w:tc>
          <w:tcPr>
            <w:tcW w:w="3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离休费</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26.93</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30216</w:t>
            </w:r>
          </w:p>
        </w:tc>
        <w:tc>
          <w:tcPr>
            <w:tcW w:w="2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培训费</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1.88</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31013</w:t>
            </w:r>
          </w:p>
        </w:tc>
        <w:tc>
          <w:tcPr>
            <w:tcW w:w="4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公务用车购置</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30302</w:t>
            </w:r>
          </w:p>
        </w:tc>
        <w:tc>
          <w:tcPr>
            <w:tcW w:w="3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退休费</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52.40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30217</w:t>
            </w:r>
          </w:p>
        </w:tc>
        <w:tc>
          <w:tcPr>
            <w:tcW w:w="2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公务接待费</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0.36</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31019</w:t>
            </w:r>
          </w:p>
        </w:tc>
        <w:tc>
          <w:tcPr>
            <w:tcW w:w="4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其他交通工具购置</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30303</w:t>
            </w:r>
          </w:p>
        </w:tc>
        <w:tc>
          <w:tcPr>
            <w:tcW w:w="3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退职（役）费</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30218</w:t>
            </w:r>
          </w:p>
        </w:tc>
        <w:tc>
          <w:tcPr>
            <w:tcW w:w="2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专用材料费</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31021</w:t>
            </w:r>
          </w:p>
        </w:tc>
        <w:tc>
          <w:tcPr>
            <w:tcW w:w="4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文物和陈列品购置</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30304</w:t>
            </w:r>
          </w:p>
        </w:tc>
        <w:tc>
          <w:tcPr>
            <w:tcW w:w="3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抚恤金</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5.14</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30224</w:t>
            </w:r>
          </w:p>
        </w:tc>
        <w:tc>
          <w:tcPr>
            <w:tcW w:w="2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被装购置费</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31022</w:t>
            </w:r>
          </w:p>
        </w:tc>
        <w:tc>
          <w:tcPr>
            <w:tcW w:w="4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无形资产购置</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30305</w:t>
            </w:r>
          </w:p>
        </w:tc>
        <w:tc>
          <w:tcPr>
            <w:tcW w:w="3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生活补助</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2.31</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30225</w:t>
            </w:r>
          </w:p>
        </w:tc>
        <w:tc>
          <w:tcPr>
            <w:tcW w:w="2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专用燃料费</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31099</w:t>
            </w:r>
          </w:p>
        </w:tc>
        <w:tc>
          <w:tcPr>
            <w:tcW w:w="4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其他资本性支出</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30306</w:t>
            </w:r>
          </w:p>
        </w:tc>
        <w:tc>
          <w:tcPr>
            <w:tcW w:w="3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救济费</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30226</w:t>
            </w:r>
          </w:p>
        </w:tc>
        <w:tc>
          <w:tcPr>
            <w:tcW w:w="2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劳务费</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1.97</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w:t>
            </w:r>
          </w:p>
        </w:tc>
        <w:tc>
          <w:tcPr>
            <w:tcW w:w="4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其他支出</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30307</w:t>
            </w:r>
          </w:p>
        </w:tc>
        <w:tc>
          <w:tcPr>
            <w:tcW w:w="3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医疗费补助</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4.29</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30227</w:t>
            </w:r>
          </w:p>
        </w:tc>
        <w:tc>
          <w:tcPr>
            <w:tcW w:w="2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委托业务费</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39907</w:t>
            </w:r>
          </w:p>
        </w:tc>
        <w:tc>
          <w:tcPr>
            <w:tcW w:w="4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国家赔偿费用支出</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30308</w:t>
            </w:r>
          </w:p>
        </w:tc>
        <w:tc>
          <w:tcPr>
            <w:tcW w:w="3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助学金</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30228</w:t>
            </w:r>
          </w:p>
        </w:tc>
        <w:tc>
          <w:tcPr>
            <w:tcW w:w="2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工会经费</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39908</w:t>
            </w:r>
          </w:p>
        </w:tc>
        <w:tc>
          <w:tcPr>
            <w:tcW w:w="4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对民间非营利组织和群众性自治组织补贴</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30309</w:t>
            </w:r>
          </w:p>
        </w:tc>
        <w:tc>
          <w:tcPr>
            <w:tcW w:w="3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奖励金</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30229</w:t>
            </w:r>
          </w:p>
        </w:tc>
        <w:tc>
          <w:tcPr>
            <w:tcW w:w="2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福利费</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39909</w:t>
            </w:r>
          </w:p>
        </w:tc>
        <w:tc>
          <w:tcPr>
            <w:tcW w:w="4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经常性赠与</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30310</w:t>
            </w:r>
          </w:p>
        </w:tc>
        <w:tc>
          <w:tcPr>
            <w:tcW w:w="3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个人农业生产补贴</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30231</w:t>
            </w:r>
          </w:p>
        </w:tc>
        <w:tc>
          <w:tcPr>
            <w:tcW w:w="2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公务用车运行维护费</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39910</w:t>
            </w:r>
          </w:p>
        </w:tc>
        <w:tc>
          <w:tcPr>
            <w:tcW w:w="4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资本性赠与</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30311</w:t>
            </w:r>
          </w:p>
        </w:tc>
        <w:tc>
          <w:tcPr>
            <w:tcW w:w="3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代缴社会保险费</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30239</w:t>
            </w:r>
          </w:p>
        </w:tc>
        <w:tc>
          <w:tcPr>
            <w:tcW w:w="2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其他交通费用</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39999</w:t>
            </w:r>
          </w:p>
        </w:tc>
        <w:tc>
          <w:tcPr>
            <w:tcW w:w="4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其他支出</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30399</w:t>
            </w:r>
          </w:p>
        </w:tc>
        <w:tc>
          <w:tcPr>
            <w:tcW w:w="3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其他对个人和家庭的补助</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30.41</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30240</w:t>
            </w:r>
          </w:p>
        </w:tc>
        <w:tc>
          <w:tcPr>
            <w:tcW w:w="2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税金及附加费用</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4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3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30299</w:t>
            </w:r>
          </w:p>
        </w:tc>
        <w:tc>
          <w:tcPr>
            <w:tcW w:w="2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其他商品和服务支出</w:t>
            </w:r>
          </w:p>
        </w:tc>
        <w:tc>
          <w:tcPr>
            <w:tcW w:w="8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22.54</w:t>
            </w:r>
          </w:p>
        </w:tc>
        <w:tc>
          <w:tcPr>
            <w:tcW w:w="1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4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45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人员经费合计</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559.06</w:t>
            </w:r>
          </w:p>
        </w:tc>
        <w:tc>
          <w:tcPr>
            <w:tcW w:w="9824"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公用经费合计</w:t>
            </w:r>
          </w:p>
        </w:tc>
        <w:tc>
          <w:tcPr>
            <w:tcW w:w="86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66.86</w:t>
            </w:r>
          </w:p>
        </w:tc>
      </w:tr>
    </w:tbl>
    <w:p>
      <w:pPr>
        <w:rPr>
          <w:rFonts w:hint="default"/>
        </w:rPr>
        <w:sectPr>
          <w:pgSz w:w="16840" w:h="11900" w:orient="landscape"/>
          <w:pgMar w:top="1083" w:right="403" w:bottom="1083" w:left="403" w:header="0" w:footer="0" w:gutter="0"/>
          <w:cols w:space="0" w:num="1"/>
          <w:docGrid w:linePitch="312" w:charSpace="0"/>
        </w:sectPr>
      </w:pPr>
      <w:r>
        <w:rPr>
          <w:rFonts w:hint="eastAsia" w:ascii="宋体" w:hAnsi="宋体" w:eastAsia="宋体" w:cs="宋体"/>
          <w:i w:val="0"/>
          <w:iCs w:val="0"/>
          <w:color w:val="000000"/>
          <w:kern w:val="0"/>
          <w:sz w:val="22"/>
          <w:szCs w:val="22"/>
          <w:u w:val="none"/>
          <w:lang w:val="en-US" w:eastAsia="zh-CN" w:bidi="ar"/>
        </w:rPr>
        <w:t>注：本表反映单位本年度一般公共预算财政拨款基本支出明细情况。</w:t>
      </w:r>
    </w:p>
    <w:p>
      <w:pPr>
        <w:rPr>
          <w:rFonts w:hint="eastAsia" w:eastAsia="等线"/>
          <w:lang w:eastAsia="zh-CN"/>
        </w:rPr>
      </w:pPr>
    </w:p>
    <w:tbl>
      <w:tblPr>
        <w:tblStyle w:val="11"/>
        <w:tblW w:w="1616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11"/>
        <w:gridCol w:w="411"/>
        <w:gridCol w:w="411"/>
        <w:gridCol w:w="2028"/>
        <w:gridCol w:w="2151"/>
        <w:gridCol w:w="2151"/>
        <w:gridCol w:w="2151"/>
        <w:gridCol w:w="2151"/>
        <w:gridCol w:w="2151"/>
        <w:gridCol w:w="21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0" w:hRule="atLeast"/>
        </w:trPr>
        <w:tc>
          <w:tcPr>
            <w:tcW w:w="16169" w:type="dxa"/>
            <w:gridSpan w:val="10"/>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411"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411"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411"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2028"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2151"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2151"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2151"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2151"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4304" w:type="dxa"/>
            <w:gridSpan w:val="2"/>
            <w:tcBorders>
              <w:top w:val="nil"/>
              <w:left w:val="nil"/>
              <w:bottom w:val="nil"/>
              <w:right w:val="nil"/>
            </w:tcBorders>
            <w:shd w:val="clear" w:color="auto" w:fill="FFFFFF"/>
            <w:vAlign w:val="center"/>
          </w:tcPr>
          <w:p>
            <w:pPr>
              <w:keepNext w:val="0"/>
              <w:keepLines w:val="0"/>
              <w:widowControl/>
              <w:suppressLineNumbers w:val="0"/>
              <w:ind w:firstLine="2800" w:firstLineChars="140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5412" w:type="dxa"/>
            <w:gridSpan w:val="5"/>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0"/>
                <w:szCs w:val="20"/>
                <w:u w:val="none"/>
                <w:lang w:eastAsia="zh-CN"/>
              </w:rPr>
              <w:t>单位：湖南省网络商品交易监测中心</w:t>
            </w:r>
          </w:p>
        </w:tc>
        <w:tc>
          <w:tcPr>
            <w:tcW w:w="2151"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2151"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2151"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4304" w:type="dxa"/>
            <w:gridSpan w:val="2"/>
            <w:tcBorders>
              <w:top w:val="nil"/>
              <w:left w:val="nil"/>
              <w:bottom w:val="nil"/>
              <w:right w:val="nil"/>
            </w:tcBorders>
            <w:shd w:val="clear" w:color="auto" w:fill="FFFFFF"/>
            <w:vAlign w:val="center"/>
          </w:tcPr>
          <w:p>
            <w:pPr>
              <w:keepNext w:val="0"/>
              <w:keepLines w:val="0"/>
              <w:widowControl/>
              <w:suppressLineNumbers w:val="0"/>
              <w:ind w:firstLine="2800" w:firstLineChars="1400"/>
              <w:jc w:val="lef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261"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215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年初结转和结余</w:t>
            </w:r>
          </w:p>
        </w:tc>
        <w:tc>
          <w:tcPr>
            <w:tcW w:w="215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w:t>
            </w:r>
          </w:p>
        </w:tc>
        <w:tc>
          <w:tcPr>
            <w:tcW w:w="645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c>
          <w:tcPr>
            <w:tcW w:w="215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33"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20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15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215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215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2153"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33" w:type="dxa"/>
            <w:gridSpan w:val="3"/>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028"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153"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33" w:type="dxa"/>
            <w:gridSpan w:val="3"/>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028"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15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153"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261"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21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1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1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1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1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1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3261"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21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2"/>
                <w:szCs w:val="22"/>
                <w:u w:val="none"/>
              </w:rPr>
            </w:pPr>
          </w:p>
        </w:tc>
        <w:tc>
          <w:tcPr>
            <w:tcW w:w="21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2"/>
                <w:szCs w:val="22"/>
                <w:u w:val="none"/>
              </w:rPr>
            </w:pPr>
          </w:p>
        </w:tc>
        <w:tc>
          <w:tcPr>
            <w:tcW w:w="21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2"/>
                <w:szCs w:val="22"/>
                <w:u w:val="none"/>
              </w:rPr>
            </w:pPr>
          </w:p>
        </w:tc>
        <w:tc>
          <w:tcPr>
            <w:tcW w:w="21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2"/>
                <w:szCs w:val="22"/>
                <w:u w:val="none"/>
              </w:rPr>
            </w:pPr>
          </w:p>
        </w:tc>
        <w:tc>
          <w:tcPr>
            <w:tcW w:w="21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2"/>
                <w:szCs w:val="22"/>
                <w:u w:val="none"/>
              </w:rPr>
            </w:pPr>
          </w:p>
        </w:tc>
        <w:tc>
          <w:tcPr>
            <w:tcW w:w="21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3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20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21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21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21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21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215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21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6169" w:type="dxa"/>
            <w:gridSpan w:val="10"/>
            <w:shd w:val="clear" w:color="auto" w:fill="FFFFFF"/>
          </w:tcPr>
          <w:p>
            <w:pP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注：本表反映单位本年度政府性基金预算财政拨款收入、支出及结转和结余情况。</w:t>
            </w:r>
          </w:p>
          <w:p>
            <w:r>
              <w:rPr>
                <w:rFonts w:hint="eastAsia" w:ascii="宋体" w:hAnsi="宋体" w:eastAsia="宋体" w:cs="宋体"/>
                <w:i w:val="0"/>
                <w:iCs w:val="0"/>
                <w:color w:val="000000"/>
                <w:kern w:val="0"/>
                <w:sz w:val="22"/>
                <w:szCs w:val="22"/>
                <w:u w:val="none"/>
                <w:lang w:val="en-US" w:eastAsia="zh-CN" w:bidi="ar"/>
              </w:rPr>
              <w:t>说明：我单位没有政府性基金收入，也没有使用政府性基金安排的支出，故本表无数据。</w:t>
            </w:r>
          </w:p>
        </w:tc>
      </w:tr>
    </w:tbl>
    <w:p>
      <w:pPr>
        <w:rPr>
          <w:rFonts w:hint="default"/>
        </w:rPr>
        <w:sectPr>
          <w:pgSz w:w="16840" w:h="11900" w:orient="landscape"/>
          <w:pgMar w:top="1083" w:right="403" w:bottom="1083" w:left="403" w:header="0" w:footer="0" w:gutter="0"/>
          <w:cols w:space="0" w:num="1"/>
          <w:docGrid w:linePitch="312" w:charSpace="0"/>
        </w:sectPr>
      </w:pPr>
    </w:p>
    <w:p>
      <w:pPr>
        <w:rPr>
          <w:rFonts w:hint="eastAsia" w:eastAsia="等线"/>
          <w:lang w:eastAsia="zh-CN"/>
        </w:rPr>
      </w:pPr>
    </w:p>
    <w:tbl>
      <w:tblPr>
        <w:tblStyle w:val="11"/>
        <w:tblW w:w="1616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6"/>
        <w:gridCol w:w="898"/>
        <w:gridCol w:w="897"/>
        <w:gridCol w:w="4431"/>
        <w:gridCol w:w="3016"/>
        <w:gridCol w:w="3015"/>
        <w:gridCol w:w="30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0" w:hRule="atLeast"/>
        </w:trPr>
        <w:tc>
          <w:tcPr>
            <w:tcW w:w="16169" w:type="dxa"/>
            <w:gridSpan w:val="7"/>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896"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898"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897"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4431"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3016"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6031" w:type="dxa"/>
            <w:gridSpan w:val="2"/>
            <w:tcBorders>
              <w:top w:val="nil"/>
              <w:left w:val="nil"/>
              <w:bottom w:val="nil"/>
              <w:right w:val="nil"/>
            </w:tcBorders>
            <w:shd w:val="clear" w:color="auto" w:fill="FFFFFF"/>
            <w:vAlign w:val="center"/>
          </w:tcPr>
          <w:p>
            <w:pPr>
              <w:keepNext w:val="0"/>
              <w:keepLines w:val="0"/>
              <w:widowControl/>
              <w:suppressLineNumbers w:val="0"/>
              <w:ind w:firstLine="4600" w:firstLineChars="230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7122" w:type="dxa"/>
            <w:gridSpan w:val="4"/>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0"/>
                <w:szCs w:val="20"/>
                <w:highlight w:val="none"/>
                <w:u w:val="none"/>
                <w:lang w:val="en-US" w:eastAsia="zh-CN" w:bidi="ar"/>
              </w:rPr>
              <w:t>单位：湖南省网络商品交易监测中心</w:t>
            </w:r>
          </w:p>
        </w:tc>
        <w:tc>
          <w:tcPr>
            <w:tcW w:w="3016"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6031" w:type="dxa"/>
            <w:gridSpan w:val="2"/>
            <w:tcBorders>
              <w:top w:val="nil"/>
              <w:left w:val="nil"/>
              <w:bottom w:val="nil"/>
              <w:right w:val="nil"/>
            </w:tcBorders>
            <w:shd w:val="clear" w:color="auto" w:fill="FFFFFF"/>
            <w:vAlign w:val="center"/>
          </w:tcPr>
          <w:p>
            <w:pPr>
              <w:keepNext w:val="0"/>
              <w:keepLines w:val="0"/>
              <w:widowControl/>
              <w:suppressLineNumbers w:val="0"/>
              <w:ind w:firstLine="4600" w:firstLineChars="2300"/>
              <w:jc w:val="lef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12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904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691"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443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30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301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30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691" w:type="dxa"/>
            <w:gridSpan w:val="3"/>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443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3016"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301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3016"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691" w:type="dxa"/>
            <w:gridSpan w:val="3"/>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4431"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3016"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3015"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3016"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12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30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0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0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12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30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2"/>
                <w:szCs w:val="22"/>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2"/>
                <w:szCs w:val="22"/>
                <w:u w:val="none"/>
              </w:rPr>
            </w:pPr>
          </w:p>
        </w:tc>
        <w:tc>
          <w:tcPr>
            <w:tcW w:w="30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69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44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2"/>
                <w:szCs w:val="22"/>
                <w:u w:val="none"/>
              </w:rPr>
            </w:pPr>
          </w:p>
        </w:tc>
        <w:tc>
          <w:tcPr>
            <w:tcW w:w="30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c>
          <w:tcPr>
            <w:tcW w:w="30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6169" w:type="dxa"/>
            <w:gridSpan w:val="7"/>
            <w:shd w:val="clear" w:color="auto" w:fill="FFFFFF"/>
          </w:tcPr>
          <w:p>
            <w:pP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注：本表反映单位本年度国有资本经营预算财政拨款支出情况。</w:t>
            </w:r>
            <w:bookmarkStart w:id="4" w:name="OLE_LINK4"/>
          </w:p>
          <w:p>
            <w:r>
              <w:rPr>
                <w:rFonts w:hint="eastAsia" w:ascii="宋体" w:hAnsi="宋体" w:eastAsia="宋体" w:cs="宋体"/>
                <w:i w:val="0"/>
                <w:iCs w:val="0"/>
                <w:color w:val="000000"/>
                <w:kern w:val="0"/>
                <w:sz w:val="22"/>
                <w:szCs w:val="22"/>
                <w:u w:val="none"/>
                <w:lang w:val="en-US" w:eastAsia="zh-CN" w:bidi="ar"/>
              </w:rPr>
              <w:t>说明</w:t>
            </w:r>
            <w:bookmarkEnd w:id="4"/>
            <w:r>
              <w:rPr>
                <w:rFonts w:hint="eastAsia" w:ascii="宋体" w:hAnsi="宋体" w:eastAsia="宋体" w:cs="宋体"/>
                <w:i w:val="0"/>
                <w:iCs w:val="0"/>
                <w:color w:val="000000"/>
                <w:kern w:val="0"/>
                <w:sz w:val="22"/>
                <w:szCs w:val="22"/>
                <w:u w:val="none"/>
                <w:lang w:val="en-US" w:eastAsia="zh-CN" w:bidi="ar"/>
              </w:rPr>
              <w:t>：我单位没有使用国有资本经营预算安排的支出，故本表无数据。</w:t>
            </w:r>
          </w:p>
        </w:tc>
      </w:tr>
    </w:tbl>
    <w:p>
      <w:pPr>
        <w:rPr>
          <w:rFonts w:hint="default"/>
        </w:rPr>
        <w:sectPr>
          <w:pgSz w:w="16840" w:h="11900" w:orient="landscape"/>
          <w:pgMar w:top="1083" w:right="403" w:bottom="1083" w:left="403" w:header="0" w:footer="0" w:gutter="0"/>
          <w:cols w:space="0" w:num="1"/>
          <w:docGrid w:linePitch="312" w:charSpace="0"/>
        </w:sectPr>
      </w:pPr>
    </w:p>
    <w:p>
      <w:pPr>
        <w:rPr>
          <w:rFonts w:hint="eastAsia" w:eastAsia="等线"/>
          <w:lang w:eastAsia="zh-CN"/>
        </w:rPr>
      </w:pPr>
    </w:p>
    <w:tbl>
      <w:tblPr>
        <w:tblStyle w:val="11"/>
        <w:tblW w:w="1615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8"/>
        <w:gridCol w:w="1329"/>
        <w:gridCol w:w="1329"/>
        <w:gridCol w:w="1329"/>
        <w:gridCol w:w="1329"/>
        <w:gridCol w:w="1329"/>
        <w:gridCol w:w="1329"/>
        <w:gridCol w:w="1329"/>
        <w:gridCol w:w="1329"/>
        <w:gridCol w:w="1329"/>
        <w:gridCol w:w="1329"/>
        <w:gridCol w:w="15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0" w:hRule="atLeast"/>
        </w:trPr>
        <w:tc>
          <w:tcPr>
            <w:tcW w:w="16157"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328"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329"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329"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329"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329"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329"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329"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329"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329"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329"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2868" w:type="dxa"/>
            <w:gridSpan w:val="2"/>
            <w:tcBorders>
              <w:top w:val="nil"/>
              <w:left w:val="nil"/>
              <w:bottom w:val="nil"/>
              <w:right w:val="nil"/>
            </w:tcBorders>
            <w:shd w:val="clear" w:color="auto" w:fill="FFFFFF"/>
            <w:vAlign w:val="center"/>
          </w:tcPr>
          <w:p>
            <w:pPr>
              <w:keepNext w:val="0"/>
              <w:keepLines w:val="0"/>
              <w:widowControl/>
              <w:suppressLineNumbers w:val="0"/>
              <w:ind w:firstLine="1400" w:firstLineChars="70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5315" w:type="dxa"/>
            <w:gridSpan w:val="4"/>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0"/>
                <w:szCs w:val="20"/>
                <w:highlight w:val="none"/>
                <w:u w:val="none"/>
                <w:lang w:val="en-US" w:eastAsia="zh-CN" w:bidi="ar"/>
              </w:rPr>
              <w:t>单位：湖南省网络商品交易监测中心</w:t>
            </w:r>
          </w:p>
        </w:tc>
        <w:tc>
          <w:tcPr>
            <w:tcW w:w="1329"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329"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329"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329"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329"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1329" w:type="dxa"/>
            <w:tcBorders>
              <w:top w:val="nil"/>
              <w:left w:val="nil"/>
              <w:bottom w:val="nil"/>
              <w:right w:val="nil"/>
            </w:tcBorders>
            <w:shd w:val="clear" w:color="auto" w:fill="FFFFFF"/>
            <w:vAlign w:val="center"/>
          </w:tcPr>
          <w:p>
            <w:pPr>
              <w:rPr>
                <w:rFonts w:hint="eastAsia" w:ascii="宋体" w:hAnsi="宋体" w:eastAsia="宋体" w:cs="宋体"/>
                <w:i w:val="0"/>
                <w:iCs w:val="0"/>
                <w:color w:val="000000"/>
                <w:sz w:val="22"/>
                <w:szCs w:val="22"/>
                <w:u w:val="none"/>
              </w:rPr>
            </w:pPr>
          </w:p>
        </w:tc>
        <w:tc>
          <w:tcPr>
            <w:tcW w:w="2868" w:type="dxa"/>
            <w:gridSpan w:val="2"/>
            <w:tcBorders>
              <w:top w:val="nil"/>
              <w:left w:val="nil"/>
              <w:bottom w:val="nil"/>
              <w:right w:val="nil"/>
            </w:tcBorders>
            <w:shd w:val="clear" w:color="auto" w:fill="FFFFFF"/>
            <w:vAlign w:val="center"/>
          </w:tcPr>
          <w:p>
            <w:pPr>
              <w:keepNext w:val="0"/>
              <w:keepLines w:val="0"/>
              <w:widowControl/>
              <w:suppressLineNumbers w:val="0"/>
              <w:ind w:firstLine="1400" w:firstLineChars="700"/>
              <w:jc w:val="lef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7973"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32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398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132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132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32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398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153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1328"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29"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3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13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公务用车运行维护费</w:t>
            </w:r>
          </w:p>
        </w:tc>
        <w:tc>
          <w:tcPr>
            <w:tcW w:w="1329"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29"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29"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3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13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公务用车运行维护费</w:t>
            </w:r>
          </w:p>
        </w:tc>
        <w:tc>
          <w:tcPr>
            <w:tcW w:w="1539" w:type="dxa"/>
            <w:vMerge w:val="continue"/>
            <w:tcBorders>
              <w:top w:val="single" w:color="000000" w:sz="4" w:space="0"/>
              <w:left w:val="single" w:color="000000" w:sz="4" w:space="0"/>
              <w:bottom w:val="single" w:color="000000" w:sz="4" w:space="0"/>
              <w:right w:val="single" w:color="000000"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3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3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3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3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3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3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3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3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3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3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5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5.10</w:t>
            </w:r>
          </w:p>
        </w:tc>
        <w:tc>
          <w:tcPr>
            <w:tcW w:w="13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w:t>
            </w:r>
          </w:p>
        </w:tc>
        <w:tc>
          <w:tcPr>
            <w:tcW w:w="13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w:t>
            </w:r>
          </w:p>
        </w:tc>
        <w:tc>
          <w:tcPr>
            <w:tcW w:w="13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0.60</w:t>
            </w:r>
          </w:p>
        </w:tc>
        <w:tc>
          <w:tcPr>
            <w:tcW w:w="13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4.86</w:t>
            </w:r>
          </w:p>
        </w:tc>
        <w:tc>
          <w:tcPr>
            <w:tcW w:w="13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w:t>
            </w:r>
          </w:p>
        </w:tc>
        <w:tc>
          <w:tcPr>
            <w:tcW w:w="13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0.36</w:t>
            </w:r>
          </w:p>
        </w:tc>
      </w:tr>
    </w:tbl>
    <w:p>
      <w:pPr>
        <w:rPr>
          <w:rFonts w:hint="default"/>
        </w:rPr>
        <w:sectPr>
          <w:pgSz w:w="16840" w:h="11900" w:orient="landscape"/>
          <w:pgMar w:top="1083" w:right="403" w:bottom="1083" w:left="403" w:header="0" w:footer="0" w:gutter="0"/>
          <w:cols w:space="0" w:num="1"/>
          <w:docGrid w:linePitch="312" w:charSpace="0"/>
        </w:sectPr>
      </w:pPr>
      <w:r>
        <w:rPr>
          <w:rFonts w:hint="eastAsia" w:ascii="宋体" w:hAnsi="宋体" w:eastAsia="宋体" w:cs="宋体"/>
          <w:i w:val="0"/>
          <w:iCs w:val="0"/>
          <w:color w:val="000000"/>
          <w:kern w:val="0"/>
          <w:sz w:val="22"/>
          <w:szCs w:val="22"/>
          <w:u w:val="none"/>
          <w:lang w:val="en-US" w:eastAsia="zh-CN" w:bidi="ar"/>
        </w:rPr>
        <w:t>注：本表反映单位本年度财政拨款“三公”经费支出预决算情况。其中，预算数为“三公”经费全年预算数，反映按规定程序调整后的预算数；决算数是包括当年财政拨款和以前年度结转资金安排的实际支出。</w:t>
      </w:r>
    </w:p>
    <w:p>
      <w:pPr>
        <w:pStyle w:val="15"/>
        <w:rPr>
          <w:sz w:val="72"/>
          <w:szCs w:val="72"/>
        </w:rPr>
      </w:pPr>
    </w:p>
    <w:p>
      <w:pPr>
        <w:pStyle w:val="15"/>
        <w:rPr>
          <w:sz w:val="72"/>
          <w:szCs w:val="72"/>
        </w:rPr>
      </w:pPr>
    </w:p>
    <w:p>
      <w:pPr>
        <w:pStyle w:val="15"/>
        <w:rPr>
          <w:sz w:val="72"/>
          <w:szCs w:val="72"/>
        </w:rPr>
      </w:pPr>
    </w:p>
    <w:p>
      <w:pPr>
        <w:pStyle w:val="15"/>
        <w:rPr>
          <w:sz w:val="72"/>
          <w:szCs w:val="72"/>
        </w:rPr>
      </w:pPr>
    </w:p>
    <w:p>
      <w:pPr>
        <w:pStyle w:val="15"/>
        <w:jc w:val="both"/>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5"/>
        <w:jc w:val="center"/>
        <w:rPr>
          <w:rFonts w:hint="eastAsia" w:ascii="方正小标宋_GBK" w:hAnsi="方正小标宋_GBK" w:eastAsia="方正小标宋_GBK" w:cs="方正小标宋_GBK"/>
          <w:sz w:val="70"/>
          <w:szCs w:val="70"/>
        </w:rPr>
      </w:pPr>
    </w:p>
    <w:p>
      <w:pPr>
        <w:pStyle w:val="15"/>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w:t>
      </w:r>
      <w:r>
        <w:rPr>
          <w:rFonts w:hint="eastAsia" w:ascii="方正小标宋_GBK" w:hAnsi="方正小标宋_GBK" w:eastAsia="方正小标宋_GBK" w:cs="方正小标宋_GBK"/>
          <w:sz w:val="70"/>
          <w:szCs w:val="70"/>
          <w:lang w:eastAsia="zh-CN"/>
        </w:rPr>
        <w:t>单位</w:t>
      </w:r>
      <w:r>
        <w:rPr>
          <w:rFonts w:hint="eastAsia" w:ascii="方正小标宋_GBK" w:hAnsi="方正小标宋_GBK" w:eastAsia="方正小标宋_GBK" w:cs="方正小标宋_GBK"/>
          <w:sz w:val="70"/>
          <w:szCs w:val="70"/>
        </w:rPr>
        <w:t>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年度收、支总计</w:t>
      </w:r>
      <w:bookmarkStart w:id="5" w:name="OLE_LINK10"/>
      <w:r>
        <w:rPr>
          <w:rFonts w:hint="eastAsia" w:ascii="Times New Roman" w:hAnsi="Times New Roman" w:eastAsia="仿宋_GB2312"/>
          <w:color w:val="auto"/>
          <w:sz w:val="32"/>
          <w:szCs w:val="32"/>
        </w:rPr>
        <w:t>1142.71</w:t>
      </w:r>
      <w:bookmarkEnd w:id="5"/>
      <w:r>
        <w:rPr>
          <w:rFonts w:hint="eastAsia" w:ascii="Times New Roman" w:hAnsi="Times New Roman" w:eastAsia="仿宋_GB2312"/>
          <w:color w:val="auto"/>
          <w:sz w:val="32"/>
          <w:szCs w:val="32"/>
        </w:rPr>
        <w:t>万元。与上年相比，增加424.42万元，增长59.09%，</w:t>
      </w:r>
      <w:bookmarkStart w:id="6" w:name="OLE_LINK26"/>
      <w:r>
        <w:rPr>
          <w:rFonts w:hint="eastAsia" w:ascii="Times New Roman" w:hAnsi="Times New Roman" w:eastAsia="仿宋_GB2312"/>
          <w:color w:val="auto"/>
          <w:sz w:val="32"/>
          <w:szCs w:val="32"/>
        </w:rPr>
        <w:t>主要是因为</w:t>
      </w:r>
      <w:bookmarkEnd w:id="6"/>
      <w:r>
        <w:rPr>
          <w:rFonts w:hint="eastAsia" w:ascii="Times New Roman" w:hAnsi="Times New Roman" w:eastAsia="仿宋_GB2312"/>
          <w:color w:val="auto"/>
          <w:sz w:val="32"/>
          <w:szCs w:val="32"/>
        </w:rPr>
        <w:t>增加网络交易监测系统建设专项、网络监管系统数据服务专项</w:t>
      </w:r>
      <w:r>
        <w:rPr>
          <w:rFonts w:hint="eastAsia" w:ascii="Times New Roman" w:hAnsi="Times New Roman" w:eastAsia="仿宋_GB2312"/>
          <w:color w:val="auto"/>
          <w:sz w:val="32"/>
          <w:szCs w:val="32"/>
          <w:lang w:eastAsia="zh-CN"/>
        </w:rPr>
        <w:t>以及按省人社厅、省财政厅新标准补发</w:t>
      </w:r>
      <w:r>
        <w:rPr>
          <w:rFonts w:hint="eastAsia" w:ascii="Times New Roman" w:hAnsi="Times New Roman" w:eastAsia="仿宋_GB2312"/>
          <w:color w:val="auto"/>
          <w:sz w:val="32"/>
          <w:szCs w:val="32"/>
          <w:lang w:val="en-US" w:eastAsia="zh-CN"/>
        </w:rPr>
        <w:t>绩效工资所追加的</w:t>
      </w:r>
      <w:r>
        <w:rPr>
          <w:rFonts w:hint="eastAsia" w:ascii="Times New Roman" w:hAnsi="Times New Roman" w:eastAsia="仿宋_GB2312"/>
          <w:color w:val="auto"/>
          <w:sz w:val="32"/>
          <w:szCs w:val="32"/>
          <w:lang w:eastAsia="zh-CN"/>
        </w:rPr>
        <w:t>人员经费收支等</w:t>
      </w:r>
      <w:r>
        <w:rPr>
          <w:rFonts w:hint="eastAsia" w:ascii="Times New Roman" w:hAnsi="Times New Roman" w:eastAsia="仿宋_GB2312"/>
          <w:color w:val="auto"/>
          <w:sz w:val="32"/>
          <w:szCs w:val="32"/>
          <w:lang w:val="en-US"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二、收入决算情况说明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年度收入合计</w:t>
      </w:r>
      <w:bookmarkStart w:id="7" w:name="OLE_LINK13"/>
      <w:r>
        <w:rPr>
          <w:rFonts w:hint="eastAsia" w:ascii="Times New Roman" w:hAnsi="Times New Roman" w:eastAsia="仿宋_GB2312"/>
          <w:sz w:val="32"/>
          <w:szCs w:val="32"/>
        </w:rPr>
        <w:t>1142.71</w:t>
      </w:r>
      <w:bookmarkEnd w:id="7"/>
      <w:r>
        <w:rPr>
          <w:rFonts w:hint="eastAsia" w:ascii="Times New Roman" w:hAnsi="Times New Roman" w:eastAsia="仿宋_GB2312"/>
          <w:sz w:val="32"/>
          <w:szCs w:val="32"/>
        </w:rPr>
        <w:t>万元，其中：财政拨款收入1142.71万元，占</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%；上级补助收入</w:t>
      </w:r>
      <w:bookmarkStart w:id="8" w:name="OLE_LINK12"/>
      <w:r>
        <w:rPr>
          <w:rFonts w:hint="eastAsia" w:ascii="Times New Roman" w:hAnsi="Times New Roman" w:eastAsia="仿宋_GB2312"/>
          <w:sz w:val="32"/>
          <w:szCs w:val="32"/>
          <w:lang w:val="en-US" w:eastAsia="zh-CN"/>
        </w:rPr>
        <w:t>0</w:t>
      </w:r>
      <w:bookmarkEnd w:id="8"/>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年度支出合计721.63万元，其中：</w:t>
      </w:r>
      <w:r>
        <w:rPr>
          <w:rFonts w:hint="eastAsia" w:ascii="Times New Roman" w:hAnsi="Times New Roman" w:eastAsia="仿宋_GB2312"/>
          <w:sz w:val="32"/>
          <w:szCs w:val="32"/>
          <w:highlight w:val="none"/>
        </w:rPr>
        <w:t>基本支出625.9</w:t>
      </w:r>
      <w:r>
        <w:rPr>
          <w:rFonts w:hint="eastAsia" w:ascii="Times New Roman" w:hAnsi="Times New Roman" w:eastAsia="仿宋_GB2312"/>
          <w:sz w:val="32"/>
          <w:szCs w:val="32"/>
          <w:highlight w:val="none"/>
          <w:lang w:val="en-US" w:eastAsia="zh-CN"/>
        </w:rPr>
        <w:t>2</w:t>
      </w:r>
      <w:r>
        <w:rPr>
          <w:rFonts w:hint="eastAsia" w:ascii="Times New Roman" w:hAnsi="Times New Roman" w:eastAsia="仿宋_GB2312"/>
          <w:sz w:val="32"/>
          <w:szCs w:val="32"/>
          <w:highlight w:val="none"/>
        </w:rPr>
        <w:t>万元</w:t>
      </w:r>
      <w:r>
        <w:rPr>
          <w:rFonts w:hint="eastAsia" w:ascii="Times New Roman" w:hAnsi="Times New Roman" w:eastAsia="仿宋_GB2312"/>
          <w:sz w:val="32"/>
          <w:szCs w:val="32"/>
        </w:rPr>
        <w:t>，占86.74%；</w:t>
      </w:r>
      <w:r>
        <w:rPr>
          <w:rFonts w:hint="eastAsia" w:ascii="Times New Roman" w:hAnsi="Times New Roman" w:eastAsia="仿宋_GB2312"/>
          <w:sz w:val="32"/>
          <w:szCs w:val="32"/>
          <w:highlight w:val="none"/>
        </w:rPr>
        <w:t>项目支出95.71万元</w:t>
      </w:r>
      <w:r>
        <w:rPr>
          <w:rFonts w:hint="eastAsia" w:ascii="Times New Roman" w:hAnsi="Times New Roman" w:eastAsia="仿宋_GB2312"/>
          <w:sz w:val="32"/>
          <w:szCs w:val="32"/>
        </w:rPr>
        <w:t>，占13.26%；上缴上级支出</w:t>
      </w:r>
      <w:bookmarkStart w:id="9" w:name="OLE_LINK14"/>
      <w:r>
        <w:rPr>
          <w:rFonts w:hint="eastAsia" w:ascii="Times New Roman" w:hAnsi="Times New Roman" w:eastAsia="仿宋_GB2312"/>
          <w:sz w:val="32"/>
          <w:szCs w:val="32"/>
          <w:lang w:val="en-US" w:eastAsia="zh-CN"/>
        </w:rPr>
        <w:t>0</w:t>
      </w:r>
      <w:bookmarkEnd w:id="9"/>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年度财政拨款收、支总计</w:t>
      </w:r>
      <w:bookmarkStart w:id="10" w:name="OLE_LINK32"/>
      <w:r>
        <w:rPr>
          <w:rFonts w:hint="eastAsia" w:ascii="Times New Roman" w:hAnsi="Times New Roman" w:eastAsia="仿宋_GB2312"/>
          <w:sz w:val="32"/>
          <w:szCs w:val="32"/>
        </w:rPr>
        <w:t>1142.71</w:t>
      </w:r>
      <w:bookmarkEnd w:id="10"/>
      <w:r>
        <w:rPr>
          <w:rFonts w:hint="eastAsia" w:ascii="Times New Roman" w:hAnsi="Times New Roman" w:eastAsia="仿宋_GB2312"/>
          <w:sz w:val="32"/>
          <w:szCs w:val="32"/>
        </w:rPr>
        <w:t>万元，与上年相比，</w:t>
      </w:r>
      <w:r>
        <w:rPr>
          <w:rFonts w:hint="eastAsia" w:ascii="Times New Roman" w:hAnsi="Times New Roman" w:eastAsia="仿宋_GB2312"/>
          <w:sz w:val="32"/>
          <w:szCs w:val="32"/>
          <w:highlight w:val="none"/>
        </w:rPr>
        <w:t>增加</w:t>
      </w:r>
      <w:r>
        <w:rPr>
          <w:rFonts w:hint="eastAsia" w:ascii="Times New Roman" w:hAnsi="Times New Roman" w:eastAsia="仿宋_GB2312"/>
          <w:sz w:val="32"/>
          <w:szCs w:val="32"/>
        </w:rPr>
        <w:t>448.40万元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highlight w:val="none"/>
        </w:rPr>
        <w:t>增长</w:t>
      </w:r>
      <w:r>
        <w:rPr>
          <w:rFonts w:hint="eastAsia" w:ascii="Times New Roman" w:hAnsi="Times New Roman" w:eastAsia="仿宋_GB2312"/>
          <w:sz w:val="32"/>
          <w:szCs w:val="32"/>
          <w:highlight w:val="none"/>
          <w:lang w:val="en-US" w:eastAsia="zh-CN"/>
        </w:rPr>
        <w:t>64.58</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rPr>
        <w:t>，</w:t>
      </w:r>
      <w:r>
        <w:rPr>
          <w:rFonts w:hint="eastAsia" w:ascii="Times New Roman" w:hAnsi="Times New Roman" w:eastAsia="仿宋_GB2312"/>
          <w:color w:val="auto"/>
          <w:sz w:val="32"/>
          <w:szCs w:val="32"/>
        </w:rPr>
        <w:t>主要是因为增加网络交易监测系统建设专项、网络监管系统数据服务专项</w:t>
      </w:r>
      <w:r>
        <w:rPr>
          <w:rFonts w:hint="eastAsia" w:ascii="Times New Roman" w:hAnsi="Times New Roman" w:eastAsia="仿宋_GB2312"/>
          <w:color w:val="auto"/>
          <w:sz w:val="32"/>
          <w:szCs w:val="32"/>
          <w:lang w:eastAsia="zh-CN"/>
        </w:rPr>
        <w:t>以及按省人社厅、省财政厅新标准补发</w:t>
      </w:r>
      <w:r>
        <w:rPr>
          <w:rFonts w:hint="eastAsia" w:ascii="Times New Roman" w:hAnsi="Times New Roman" w:eastAsia="仿宋_GB2312"/>
          <w:color w:val="auto"/>
          <w:sz w:val="32"/>
          <w:szCs w:val="32"/>
          <w:lang w:val="en-US" w:eastAsia="zh-CN"/>
        </w:rPr>
        <w:t>绩效工资所追加的</w:t>
      </w:r>
      <w:r>
        <w:rPr>
          <w:rFonts w:hint="eastAsia" w:ascii="Times New Roman" w:hAnsi="Times New Roman" w:eastAsia="仿宋_GB2312"/>
          <w:color w:val="auto"/>
          <w:sz w:val="32"/>
          <w:szCs w:val="32"/>
          <w:lang w:eastAsia="zh-CN"/>
        </w:rPr>
        <w:t>人员经费收支等</w:t>
      </w:r>
      <w:r>
        <w:rPr>
          <w:rFonts w:hint="eastAsia" w:ascii="Times New Roman" w:hAnsi="Times New Roman" w:eastAsia="仿宋_GB2312"/>
          <w:color w:val="auto"/>
          <w:sz w:val="32"/>
          <w:szCs w:val="32"/>
          <w:lang w:val="en-US"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（一）一般公共预算财政拨款支出决算总体情况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FF0000"/>
          <w:sz w:val="32"/>
          <w:szCs w:val="32"/>
          <w:highlight w:val="yellow"/>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bookmarkStart w:id="11" w:name="OLE_LINK15"/>
      <w:r>
        <w:rPr>
          <w:rFonts w:hint="eastAsia" w:ascii="Times New Roman" w:hAnsi="Times New Roman" w:eastAsia="仿宋_GB2312"/>
          <w:sz w:val="32"/>
          <w:szCs w:val="32"/>
        </w:rPr>
        <w:t>721.63</w:t>
      </w:r>
      <w:bookmarkEnd w:id="11"/>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%，与上年相比，财政拨款支出增加33.06万元，增长4.80%，</w:t>
      </w:r>
      <w:r>
        <w:rPr>
          <w:rFonts w:hint="eastAsia" w:ascii="Times New Roman" w:hAnsi="Times New Roman" w:eastAsia="仿宋_GB2312"/>
          <w:color w:val="auto"/>
          <w:sz w:val="32"/>
          <w:szCs w:val="32"/>
          <w:highlight w:val="none"/>
        </w:rPr>
        <w:t>主要是</w:t>
      </w:r>
      <w:r>
        <w:rPr>
          <w:rFonts w:hint="eastAsia" w:ascii="Times New Roman" w:hAnsi="Times New Roman" w:eastAsia="仿宋_GB2312"/>
          <w:color w:val="auto"/>
          <w:sz w:val="32"/>
          <w:szCs w:val="32"/>
          <w:highlight w:val="none"/>
          <w:lang w:val="en-US" w:eastAsia="zh-CN"/>
        </w:rPr>
        <w:t>因为</w:t>
      </w:r>
      <w:r>
        <w:rPr>
          <w:rFonts w:hint="eastAsia" w:ascii="Times New Roman" w:hAnsi="Times New Roman" w:eastAsia="仿宋_GB2312"/>
          <w:color w:val="auto"/>
          <w:sz w:val="32"/>
          <w:szCs w:val="32"/>
          <w:highlight w:val="none"/>
          <w:lang w:eastAsia="zh-CN"/>
        </w:rPr>
        <w:t>增加了按省人社厅、省财政厅新标准补发</w:t>
      </w:r>
      <w:r>
        <w:rPr>
          <w:rFonts w:hint="eastAsia" w:ascii="Times New Roman" w:hAnsi="Times New Roman" w:eastAsia="仿宋_GB2312"/>
          <w:color w:val="auto"/>
          <w:sz w:val="32"/>
          <w:szCs w:val="32"/>
          <w:highlight w:val="none"/>
          <w:lang w:val="en-US" w:eastAsia="zh-CN"/>
        </w:rPr>
        <w:t>绩效工资所追加的</w:t>
      </w:r>
      <w:r>
        <w:rPr>
          <w:rFonts w:hint="eastAsia" w:ascii="Times New Roman" w:hAnsi="Times New Roman" w:eastAsia="仿宋_GB2312"/>
          <w:color w:val="auto"/>
          <w:sz w:val="32"/>
          <w:szCs w:val="32"/>
          <w:highlight w:val="none"/>
          <w:lang w:eastAsia="zh-CN"/>
        </w:rPr>
        <w:t>人员经费支出</w:t>
      </w:r>
      <w:r>
        <w:rPr>
          <w:rFonts w:hint="eastAsia" w:ascii="Times New Roman" w:hAnsi="Times New Roman" w:eastAsia="仿宋_GB2312"/>
          <w:color w:val="auto"/>
          <w:sz w:val="32"/>
          <w:szCs w:val="32"/>
          <w:highlight w:val="none"/>
          <w:lang w:val="en-US" w:eastAsia="zh-CN"/>
        </w:rPr>
        <w:t>。</w:t>
      </w:r>
    </w:p>
    <w:p>
      <w:pPr>
        <w:pStyle w:val="15"/>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（二）一般公共预算财政拨款支出决算结构情况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年度财政拨款支出721.63万元，主要用于以下方面：一般公共服务（类）支出453.38万元，</w:t>
      </w:r>
      <w:r>
        <w:rPr>
          <w:rFonts w:hint="eastAsia" w:ascii="Times New Roman" w:hAnsi="Times New Roman" w:eastAsia="仿宋_GB2312"/>
          <w:sz w:val="32"/>
          <w:szCs w:val="32"/>
          <w:highlight w:val="none"/>
        </w:rPr>
        <w:t>占62.83%</w:t>
      </w:r>
      <w:r>
        <w:rPr>
          <w:rFonts w:hint="eastAsia" w:ascii="Times New Roman" w:hAnsi="Times New Roman" w:eastAsia="仿宋_GB2312"/>
          <w:sz w:val="32"/>
          <w:szCs w:val="32"/>
        </w:rPr>
        <w:t>；社会保障和就业</w:t>
      </w:r>
      <w:bookmarkStart w:id="12" w:name="OLE_LINK22"/>
      <w:r>
        <w:rPr>
          <w:rFonts w:hint="eastAsia" w:ascii="Times New Roman" w:hAnsi="Times New Roman" w:eastAsia="仿宋_GB2312"/>
          <w:sz w:val="32"/>
          <w:szCs w:val="32"/>
        </w:rPr>
        <w:t>（类）</w:t>
      </w:r>
      <w:bookmarkEnd w:id="12"/>
      <w:r>
        <w:rPr>
          <w:rFonts w:hint="eastAsia" w:ascii="Times New Roman" w:hAnsi="Times New Roman" w:eastAsia="仿宋_GB2312"/>
          <w:sz w:val="32"/>
          <w:szCs w:val="32"/>
        </w:rPr>
        <w:t>支出194.09万元，</w:t>
      </w:r>
      <w:r>
        <w:rPr>
          <w:rFonts w:hint="eastAsia" w:ascii="Times New Roman" w:hAnsi="Times New Roman" w:eastAsia="仿宋_GB2312"/>
          <w:sz w:val="32"/>
          <w:szCs w:val="32"/>
          <w:highlight w:val="none"/>
        </w:rPr>
        <w:t>占26.</w:t>
      </w:r>
      <w:r>
        <w:rPr>
          <w:rFonts w:hint="eastAsia" w:ascii="Times New Roman" w:hAnsi="Times New Roman" w:eastAsia="仿宋_GB2312"/>
          <w:sz w:val="32"/>
          <w:szCs w:val="32"/>
          <w:highlight w:val="none"/>
          <w:lang w:val="en-US" w:eastAsia="zh-CN"/>
        </w:rPr>
        <w:t>89</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lang w:eastAsia="zh-CN"/>
        </w:rPr>
        <w:t>；卫生健康（</w:t>
      </w:r>
      <w:r>
        <w:rPr>
          <w:rFonts w:hint="eastAsia" w:ascii="Times New Roman" w:hAnsi="Times New Roman" w:eastAsia="仿宋_GB2312"/>
          <w:sz w:val="32"/>
          <w:szCs w:val="32"/>
          <w:lang w:val="en-US" w:eastAsia="zh-CN"/>
        </w:rPr>
        <w:t>类）支出</w:t>
      </w:r>
      <w:r>
        <w:rPr>
          <w:rFonts w:hint="eastAsia" w:ascii="Times New Roman" w:hAnsi="Times New Roman" w:eastAsia="仿宋_GB2312"/>
          <w:sz w:val="32"/>
          <w:szCs w:val="32"/>
        </w:rPr>
        <w:t>31.3</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highlight w:val="none"/>
          <w:lang w:val="en-US" w:eastAsia="zh-CN"/>
        </w:rPr>
        <w:t>占4.34%</w:t>
      </w:r>
      <w:r>
        <w:rPr>
          <w:rFonts w:hint="eastAsia" w:ascii="Times New Roman" w:hAnsi="Times New Roman" w:eastAsia="仿宋_GB2312"/>
          <w:sz w:val="32"/>
          <w:szCs w:val="32"/>
          <w:lang w:val="en-US" w:eastAsia="zh-CN"/>
        </w:rPr>
        <w:t>；住房保障</w:t>
      </w:r>
      <w:r>
        <w:rPr>
          <w:rFonts w:hint="eastAsia" w:ascii="Times New Roman" w:hAnsi="Times New Roman" w:eastAsia="仿宋_GB2312"/>
          <w:sz w:val="32"/>
          <w:szCs w:val="32"/>
        </w:rPr>
        <w:t>（类）</w:t>
      </w:r>
      <w:r>
        <w:rPr>
          <w:rFonts w:hint="eastAsia" w:ascii="Times New Roman" w:hAnsi="Times New Roman" w:eastAsia="仿宋_GB2312"/>
          <w:sz w:val="32"/>
          <w:szCs w:val="32"/>
          <w:lang w:val="en-US" w:eastAsia="zh-CN"/>
        </w:rPr>
        <w:t>支出42.86万元，</w:t>
      </w:r>
      <w:r>
        <w:rPr>
          <w:rFonts w:hint="eastAsia" w:ascii="Times New Roman" w:hAnsi="Times New Roman" w:eastAsia="仿宋_GB2312"/>
          <w:sz w:val="32"/>
          <w:szCs w:val="32"/>
          <w:highlight w:val="none"/>
          <w:lang w:val="en-US" w:eastAsia="zh-CN"/>
        </w:rPr>
        <w:t>占5.94%</w:t>
      </w:r>
      <w:r>
        <w:rPr>
          <w:rFonts w:hint="eastAsia" w:ascii="Times New Roman" w:hAnsi="Times New Roman" w:eastAsia="仿宋_GB2312"/>
          <w:sz w:val="32"/>
          <w:szCs w:val="32"/>
          <w:lang w:val="en-US"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（三）一般公共预算财政拨款支出决算具体情况</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年度财政拨款支出年初预算数为</w:t>
      </w:r>
      <w:bookmarkStart w:id="13" w:name="OLE_LINK16"/>
      <w:r>
        <w:rPr>
          <w:rFonts w:hint="eastAsia" w:ascii="Times New Roman" w:hAnsi="Times New Roman" w:eastAsia="仿宋_GB2312"/>
          <w:color w:val="auto"/>
          <w:sz w:val="32"/>
          <w:szCs w:val="32"/>
        </w:rPr>
        <w:t>974.90</w:t>
      </w:r>
      <w:bookmarkEnd w:id="13"/>
      <w:r>
        <w:rPr>
          <w:rFonts w:hint="eastAsia" w:ascii="Times New Roman" w:hAnsi="Times New Roman" w:eastAsia="仿宋_GB2312"/>
          <w:color w:val="auto"/>
          <w:sz w:val="32"/>
          <w:szCs w:val="32"/>
        </w:rPr>
        <w:t>万</w:t>
      </w:r>
      <w:r>
        <w:rPr>
          <w:rFonts w:hint="eastAsia" w:ascii="Times New Roman" w:hAnsi="Times New Roman" w:eastAsia="仿宋_GB2312"/>
          <w:sz w:val="32"/>
          <w:szCs w:val="32"/>
        </w:rPr>
        <w:t>元，支出决算数为721.63万元，完成年初预算的74.02%，其中：</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1、一般公共服务支出（类）市场监督管理事务（款）事业运行（项）。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年初预算为759.09万元，支出决算为453.38万元，完成年初预算的59.73%，决算数小于年初预算数的主要原因是：</w:t>
      </w:r>
      <w:r>
        <w:rPr>
          <w:rFonts w:hint="eastAsia" w:ascii="Times New Roman" w:hAnsi="Times New Roman" w:eastAsia="仿宋_GB2312"/>
          <w:color w:val="auto"/>
          <w:sz w:val="32"/>
          <w:szCs w:val="32"/>
          <w:lang w:eastAsia="zh-CN"/>
        </w:rPr>
        <w:t>因</w:t>
      </w:r>
      <w:r>
        <w:rPr>
          <w:rFonts w:hint="eastAsia" w:ascii="Times New Roman" w:hAnsi="Times New Roman" w:eastAsia="仿宋_GB2312"/>
          <w:color w:val="auto"/>
          <w:sz w:val="32"/>
          <w:szCs w:val="32"/>
        </w:rPr>
        <w:t>省局2022年还有部分信息化项目尚未完成验收，省发改委未能同意启动2023年信息化总项目的立项工作，导致中心网络交易监测系统建设专项无法如期启动，专项经费预算无法执行</w:t>
      </w:r>
      <w:r>
        <w:rPr>
          <w:rFonts w:hint="eastAsia" w:ascii="Times New Roman" w:hAnsi="Times New Roman" w:eastAsia="仿宋_GB2312"/>
          <w:color w:val="auto"/>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2、</w:t>
      </w:r>
      <w:bookmarkStart w:id="14" w:name="OLE_LINK18"/>
      <w:r>
        <w:rPr>
          <w:rFonts w:hint="eastAsia" w:ascii="Times New Roman" w:hAnsi="Times New Roman" w:eastAsia="仿宋_GB2312"/>
          <w:color w:val="auto"/>
          <w:sz w:val="32"/>
          <w:szCs w:val="32"/>
        </w:rPr>
        <w:t>社会保障和就业支出（类）行政事业单位养老支出（款）事业单位离退休（项）。</w:t>
      </w:r>
      <w:bookmarkEnd w:id="14"/>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年初预算为102万元，支出决算为147.96万元，完成年初预算的145.06%，决算数大于年初预算数的主要原因是：</w:t>
      </w:r>
      <w:r>
        <w:rPr>
          <w:rFonts w:hint="eastAsia" w:ascii="Times New Roman" w:hAnsi="Times New Roman" w:eastAsia="仿宋_GB2312"/>
          <w:color w:val="auto"/>
          <w:sz w:val="32"/>
          <w:szCs w:val="32"/>
          <w:lang w:eastAsia="zh-CN"/>
        </w:rPr>
        <w:t>按省人社厅、省财政厅新标准补发</w:t>
      </w:r>
      <w:r>
        <w:rPr>
          <w:rFonts w:hint="eastAsia" w:ascii="Times New Roman" w:hAnsi="Times New Roman" w:eastAsia="仿宋_GB2312"/>
          <w:color w:val="auto"/>
          <w:sz w:val="32"/>
          <w:szCs w:val="32"/>
          <w:lang w:val="en-US" w:eastAsia="zh-CN"/>
        </w:rPr>
        <w:t>绩效工资所增加的</w:t>
      </w:r>
      <w:r>
        <w:rPr>
          <w:rFonts w:hint="eastAsia" w:ascii="Times New Roman" w:hAnsi="Times New Roman" w:eastAsia="仿宋_GB2312"/>
          <w:color w:val="auto"/>
          <w:sz w:val="32"/>
          <w:szCs w:val="32"/>
          <w:lang w:eastAsia="zh-CN"/>
        </w:rPr>
        <w:t>人员经费支出</w:t>
      </w:r>
      <w:r>
        <w:rPr>
          <w:rFonts w:hint="eastAsia" w:ascii="Times New Roman" w:hAnsi="Times New Roman" w:eastAsia="仿宋_GB2312"/>
          <w:color w:val="auto"/>
          <w:sz w:val="32"/>
          <w:szCs w:val="32"/>
          <w:lang w:val="en-US"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w:t>
      </w:r>
      <w:bookmarkStart w:id="15" w:name="OLE_LINK19"/>
      <w:r>
        <w:rPr>
          <w:rFonts w:hint="eastAsia" w:ascii="Times New Roman" w:hAnsi="Times New Roman" w:eastAsia="仿宋_GB2312"/>
          <w:color w:val="auto"/>
          <w:sz w:val="32"/>
          <w:szCs w:val="32"/>
        </w:rPr>
        <w:t>社会保障和就业支出（类）行政事业单位养老支出（款）机关事业单位基本养老保险缴费支出（项）。</w:t>
      </w:r>
    </w:p>
    <w:bookmarkEnd w:id="15"/>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年初预算为31.8</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万元，支出决算为40.52万元，完成年初预算的127.42%，决算数大于年初预算数的主要原因是</w:t>
      </w:r>
      <w:r>
        <w:rPr>
          <w:rFonts w:hint="eastAsia" w:ascii="Times New Roman" w:hAnsi="Times New Roman" w:eastAsia="仿宋_GB2312"/>
          <w:color w:val="auto"/>
          <w:sz w:val="32"/>
          <w:szCs w:val="32"/>
          <w:lang w:eastAsia="zh-CN"/>
        </w:rPr>
        <w:t>：合同制工人退休补缴以前年度基本养老保险。</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rPr>
        <w:t>、社会保障和就业支出（类）其他社会保障和就业支出（款）其他社会保障和就业支出（项）。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年初预算为5.61万元，支出决算为5.61万元，完成年初预算的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%，决算数</w:t>
      </w:r>
      <w:r>
        <w:rPr>
          <w:rFonts w:hint="eastAsia" w:ascii="Times New Roman" w:hAnsi="Times New Roman" w:eastAsia="仿宋_GB2312"/>
          <w:color w:val="auto"/>
          <w:sz w:val="32"/>
          <w:szCs w:val="32"/>
          <w:lang w:val="en-US" w:eastAsia="zh-CN"/>
        </w:rPr>
        <w:t>等于</w:t>
      </w:r>
      <w:r>
        <w:rPr>
          <w:rFonts w:hint="eastAsia" w:ascii="Times New Roman" w:hAnsi="Times New Roman" w:eastAsia="仿宋_GB2312"/>
          <w:color w:val="auto"/>
          <w:sz w:val="32"/>
          <w:szCs w:val="32"/>
        </w:rPr>
        <w:t>年初预算数的主要原因是：</w:t>
      </w:r>
      <w:r>
        <w:rPr>
          <w:rFonts w:hint="eastAsia" w:ascii="Times New Roman" w:hAnsi="Times New Roman" w:eastAsia="仿宋_GB2312"/>
          <w:color w:val="auto"/>
          <w:sz w:val="32"/>
          <w:szCs w:val="32"/>
          <w:highlight w:val="none"/>
          <w:lang w:val="en-US" w:eastAsia="zh-CN"/>
        </w:rPr>
        <w:t>收支基本持平</w:t>
      </w:r>
      <w:r>
        <w:rPr>
          <w:rFonts w:hint="eastAsia" w:ascii="Times New Roman" w:hAnsi="Times New Roman" w:eastAsia="仿宋_GB2312"/>
          <w:color w:val="auto"/>
          <w:sz w:val="32"/>
          <w:szCs w:val="32"/>
          <w:lang w:val="en-US"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bookmarkStart w:id="16" w:name="OLE_LINK17"/>
      <w:r>
        <w:rPr>
          <w:rFonts w:hint="eastAsia" w:ascii="Times New Roman" w:hAnsi="Times New Roman" w:eastAsia="仿宋_GB2312"/>
          <w:color w:val="auto"/>
          <w:sz w:val="32"/>
          <w:szCs w:val="32"/>
          <w:lang w:val="en-US" w:eastAsia="zh-CN"/>
        </w:rPr>
        <w:t>5</w:t>
      </w:r>
      <w:r>
        <w:rPr>
          <w:rFonts w:hint="eastAsia" w:ascii="Times New Roman" w:hAnsi="Times New Roman" w:eastAsia="仿宋_GB2312"/>
          <w:color w:val="auto"/>
          <w:sz w:val="32"/>
          <w:szCs w:val="32"/>
        </w:rPr>
        <w:t>、卫生健康支出（类）行政事业单位医疗（款）事业单位医疗（项）。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年初预算为25.6</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万元，支出决算为31.3</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万元，完成年初预算</w:t>
      </w:r>
      <w:r>
        <w:rPr>
          <w:rFonts w:hint="eastAsia" w:ascii="Times New Roman" w:hAnsi="Times New Roman" w:eastAsia="仿宋_GB2312"/>
          <w:color w:val="auto"/>
          <w:sz w:val="32"/>
          <w:szCs w:val="32"/>
          <w:lang w:val="en-US" w:eastAsia="zh-CN"/>
        </w:rPr>
        <w:t>的</w:t>
      </w:r>
      <w:r>
        <w:rPr>
          <w:rFonts w:hint="eastAsia" w:ascii="Times New Roman" w:hAnsi="Times New Roman" w:eastAsia="仿宋_GB2312"/>
          <w:color w:val="auto"/>
          <w:sz w:val="32"/>
          <w:szCs w:val="32"/>
        </w:rPr>
        <w:t>122.27%，决算数大于年初预算数的主要原因是：</w:t>
      </w:r>
      <w:r>
        <w:rPr>
          <w:rFonts w:hint="eastAsia" w:ascii="Times New Roman" w:hAnsi="Times New Roman" w:eastAsia="仿宋_GB2312"/>
          <w:color w:val="auto"/>
          <w:sz w:val="32"/>
          <w:szCs w:val="32"/>
          <w:lang w:eastAsia="zh-CN"/>
        </w:rPr>
        <w:t>缴费基数调增。</w:t>
      </w:r>
    </w:p>
    <w:bookmarkEnd w:id="16"/>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6</w:t>
      </w:r>
      <w:r>
        <w:rPr>
          <w:rFonts w:hint="eastAsia" w:ascii="Times New Roman" w:hAnsi="Times New Roman" w:eastAsia="仿宋_GB2312"/>
          <w:color w:val="auto"/>
          <w:sz w:val="32"/>
          <w:szCs w:val="32"/>
        </w:rPr>
        <w:t>、住房保障支出（类）住房改革支出（款）住房公积金（项）。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color w:val="auto"/>
          <w:sz w:val="32"/>
          <w:szCs w:val="32"/>
        </w:rPr>
        <w:t>年初预算为50.8</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万元，支出决算为42.86万元，完成年初预算的84.37%，决算数小于年初预算数的主要原因是：</w:t>
      </w:r>
      <w:r>
        <w:rPr>
          <w:rFonts w:hint="eastAsia" w:ascii="Times New Roman" w:hAnsi="Times New Roman" w:eastAsia="仿宋_GB2312"/>
          <w:color w:val="auto"/>
          <w:sz w:val="32"/>
          <w:szCs w:val="32"/>
          <w:lang w:eastAsia="zh-CN"/>
        </w:rPr>
        <w:t>在职人员退休缴费减少。</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年度财政拨款基本支出625.9</w:t>
      </w:r>
      <w:r>
        <w:rPr>
          <w:rFonts w:hint="eastAsia" w:ascii="Times New Roman" w:hAnsi="Times New Roman" w:eastAsia="仿宋_GB2312"/>
          <w:sz w:val="32"/>
          <w:szCs w:val="32"/>
          <w:highlight w:val="none"/>
          <w:lang w:val="en-US" w:eastAsia="zh-CN"/>
        </w:rPr>
        <w:t>2</w:t>
      </w:r>
      <w:r>
        <w:rPr>
          <w:rFonts w:hint="eastAsia" w:ascii="Times New Roman" w:hAnsi="Times New Roman" w:eastAsia="仿宋_GB2312"/>
          <w:sz w:val="32"/>
          <w:szCs w:val="32"/>
          <w:highlight w:val="none"/>
        </w:rPr>
        <w:t>万元</w:t>
      </w:r>
      <w:r>
        <w:rPr>
          <w:rFonts w:hint="eastAsia" w:ascii="Times New Roman" w:hAnsi="Times New Roman" w:eastAsia="仿宋_GB2312"/>
          <w:sz w:val="32"/>
          <w:szCs w:val="32"/>
        </w:rPr>
        <w:t>，其中：</w:t>
      </w:r>
    </w:p>
    <w:p>
      <w:pPr>
        <w:pStyle w:val="15"/>
        <w:keepNext w:val="0"/>
        <w:keepLines w:val="0"/>
        <w:pageBreakBefore w:val="0"/>
        <w:widowControl w:val="0"/>
        <w:kinsoku/>
        <w:wordWrap/>
        <w:overflowPunct/>
        <w:topLinePunct w:val="0"/>
        <w:bidi w:val="0"/>
        <w:snapToGrid/>
        <w:spacing w:line="600" w:lineRule="exact"/>
        <w:ind w:firstLine="643" w:firstLineChars="200"/>
        <w:textAlignment w:val="auto"/>
        <w:rPr>
          <w:rFonts w:hint="eastAsia" w:ascii="Times New Roman" w:hAnsi="Times New Roman" w:eastAsia="仿宋_GB2312"/>
          <w:sz w:val="32"/>
          <w:szCs w:val="32"/>
          <w:highlight w:val="none"/>
          <w:lang w:eastAsia="zh-CN"/>
        </w:rPr>
      </w:pPr>
      <w:r>
        <w:rPr>
          <w:rFonts w:hint="eastAsia" w:ascii="Times New Roman" w:hAnsi="Times New Roman" w:eastAsia="仿宋_GB2312"/>
          <w:b/>
          <w:bCs/>
          <w:sz w:val="32"/>
          <w:szCs w:val="32"/>
          <w:highlight w:val="none"/>
        </w:rPr>
        <w:t>人员经费</w:t>
      </w:r>
      <w:r>
        <w:rPr>
          <w:rFonts w:hint="eastAsia" w:ascii="Times New Roman" w:hAnsi="Times New Roman" w:eastAsia="仿宋_GB2312"/>
          <w:sz w:val="32"/>
          <w:szCs w:val="32"/>
          <w:highlight w:val="none"/>
        </w:rPr>
        <w:t>559.0</w:t>
      </w:r>
      <w:r>
        <w:rPr>
          <w:rFonts w:hint="eastAsia" w:ascii="Times New Roman" w:hAnsi="Times New Roman" w:eastAsia="仿宋_GB2312"/>
          <w:sz w:val="32"/>
          <w:szCs w:val="32"/>
          <w:highlight w:val="none"/>
          <w:lang w:val="en-US" w:eastAsia="zh-CN"/>
        </w:rPr>
        <w:t>6</w:t>
      </w:r>
      <w:r>
        <w:rPr>
          <w:rFonts w:hint="eastAsia" w:ascii="Times New Roman" w:hAnsi="Times New Roman" w:eastAsia="仿宋_GB2312"/>
          <w:sz w:val="32"/>
          <w:szCs w:val="32"/>
          <w:highlight w:val="none"/>
        </w:rPr>
        <w:t>万元</w:t>
      </w:r>
      <w:r>
        <w:rPr>
          <w:rFonts w:hint="eastAsia" w:ascii="Times New Roman" w:hAnsi="Times New Roman" w:eastAsia="仿宋_GB2312"/>
          <w:sz w:val="32"/>
          <w:szCs w:val="32"/>
        </w:rPr>
        <w:t>，占基本支出的89.32%</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主要包括基本工资、津贴补贴、伙食补助费、绩效工资、机关事业单位基本养老保险缴费、职工基本医疗保险缴费、其他社会保障缴费、住房公积金、离休费、退休费、抚恤金、生活补助、医疗费补助、</w:t>
      </w:r>
      <w:r>
        <w:rPr>
          <w:rFonts w:hint="eastAsia" w:ascii="Times New Roman" w:hAnsi="Times New Roman" w:eastAsia="仿宋_GB2312"/>
          <w:sz w:val="32"/>
          <w:szCs w:val="32"/>
          <w:highlight w:val="none"/>
        </w:rPr>
        <w:t>其他对个人和家庭的补助</w:t>
      </w:r>
      <w:r>
        <w:rPr>
          <w:rFonts w:hint="eastAsia" w:ascii="Times New Roman" w:hAnsi="Times New Roman" w:eastAsia="仿宋_GB2312"/>
          <w:sz w:val="32"/>
          <w:szCs w:val="32"/>
          <w:highlight w:val="none"/>
          <w:lang w:eastAsia="zh-CN"/>
        </w:rPr>
        <w:t>。</w:t>
      </w:r>
    </w:p>
    <w:p>
      <w:pPr>
        <w:pStyle w:val="15"/>
        <w:keepNext w:val="0"/>
        <w:keepLines w:val="0"/>
        <w:pageBreakBefore w:val="0"/>
        <w:widowControl w:val="0"/>
        <w:kinsoku/>
        <w:wordWrap/>
        <w:overflowPunct/>
        <w:topLinePunct w:val="0"/>
        <w:bidi w:val="0"/>
        <w:snapToGrid/>
        <w:spacing w:line="600" w:lineRule="exact"/>
        <w:ind w:firstLine="643" w:firstLineChars="200"/>
        <w:textAlignment w:val="auto"/>
        <w:rPr>
          <w:rFonts w:hint="eastAsia" w:ascii="Times New Roman" w:hAnsi="Times New Roman" w:eastAsia="仿宋_GB2312"/>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rPr>
        <w:t>66.86万元，占基本支出的10.68%，主要包括办公费、印刷费、邮电费、差旅费、维修（护）费、培训费、公务接待费、劳务费、工会经费、公务用车运行维护费、其他交通费用、其他商品和服务支出。</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七、财政拨款三公经费支出决算情况说明</w:t>
      </w:r>
    </w:p>
    <w:p>
      <w:pPr>
        <w:pStyle w:val="15"/>
        <w:keepNext w:val="0"/>
        <w:keepLines w:val="0"/>
        <w:pageBreakBefore w:val="0"/>
        <w:widowControl w:val="0"/>
        <w:kinsoku/>
        <w:wordWrap/>
        <w:overflowPunct/>
        <w:topLinePunct w:val="0"/>
        <w:bidi w:val="0"/>
        <w:snapToGrid/>
        <w:spacing w:line="600" w:lineRule="exact"/>
        <w:ind w:firstLine="643"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5"/>
        <w:keepNext w:val="0"/>
        <w:keepLines w:val="0"/>
        <w:pageBreakBefore w:val="0"/>
        <w:widowControl w:val="0"/>
        <w:kinsoku/>
        <w:wordWrap/>
        <w:overflowPunct/>
        <w:topLinePunct w:val="0"/>
        <w:bidi w:val="0"/>
        <w:snapToGrid/>
        <w:spacing w:line="600" w:lineRule="exact"/>
        <w:ind w:firstLine="800" w:firstLineChars="250"/>
        <w:jc w:val="both"/>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highlight w:val="none"/>
        </w:rPr>
        <w:t>“三公”经费财政拨款支出预算为5.1</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万元，支出决算为4.8</w:t>
      </w:r>
      <w:r>
        <w:rPr>
          <w:rFonts w:hint="eastAsia" w:ascii="Times New Roman" w:hAnsi="Times New Roman" w:eastAsia="仿宋_GB2312"/>
          <w:color w:val="auto"/>
          <w:sz w:val="32"/>
          <w:szCs w:val="32"/>
          <w:highlight w:val="none"/>
          <w:lang w:val="en-US" w:eastAsia="zh-CN"/>
        </w:rPr>
        <w:t>6</w:t>
      </w:r>
      <w:r>
        <w:rPr>
          <w:rFonts w:hint="eastAsia" w:ascii="Times New Roman" w:hAnsi="Times New Roman" w:eastAsia="仿宋_GB2312"/>
          <w:color w:val="auto"/>
          <w:sz w:val="32"/>
          <w:szCs w:val="32"/>
          <w:highlight w:val="none"/>
        </w:rPr>
        <w:t>万元，完成预算的95.</w:t>
      </w:r>
      <w:r>
        <w:rPr>
          <w:rFonts w:hint="eastAsia" w:ascii="Times New Roman" w:hAnsi="Times New Roman" w:eastAsia="仿宋_GB2312"/>
          <w:color w:val="auto"/>
          <w:sz w:val="32"/>
          <w:szCs w:val="32"/>
          <w:highlight w:val="none"/>
          <w:lang w:val="en-US" w:eastAsia="zh-CN"/>
        </w:rPr>
        <w:t>29</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rPr>
        <w:t>决算数小于预算数的主要原因是</w:t>
      </w:r>
      <w:r>
        <w:rPr>
          <w:rFonts w:hint="eastAsia" w:ascii="Times New Roman" w:hAnsi="Times New Roman" w:eastAsia="仿宋_GB2312"/>
          <w:color w:val="auto"/>
          <w:sz w:val="32"/>
          <w:szCs w:val="32"/>
          <w:lang w:val="en-US" w:eastAsia="zh-CN"/>
        </w:rPr>
        <w:t>厉行节约</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highlight w:val="none"/>
        </w:rPr>
        <w:t>与上年相比增加</w:t>
      </w:r>
      <w:r>
        <w:rPr>
          <w:rFonts w:hint="eastAsia" w:ascii="Times New Roman" w:hAnsi="Times New Roman" w:eastAsia="仿宋_GB2312"/>
          <w:color w:val="auto"/>
          <w:sz w:val="32"/>
          <w:szCs w:val="32"/>
          <w:highlight w:val="none"/>
          <w:lang w:val="en-US" w:eastAsia="zh-CN"/>
        </w:rPr>
        <w:t>4.66</w:t>
      </w:r>
      <w:r>
        <w:rPr>
          <w:rFonts w:hint="eastAsia" w:ascii="Times New Roman" w:hAnsi="Times New Roman" w:eastAsia="仿宋_GB2312"/>
          <w:color w:val="auto"/>
          <w:sz w:val="32"/>
          <w:szCs w:val="32"/>
          <w:highlight w:val="none"/>
        </w:rPr>
        <w:t>万元，增长</w:t>
      </w:r>
      <w:r>
        <w:rPr>
          <w:rFonts w:hint="eastAsia" w:ascii="Times New Roman" w:hAnsi="Times New Roman" w:eastAsia="仿宋_GB2312"/>
          <w:color w:val="auto"/>
          <w:sz w:val="32"/>
          <w:szCs w:val="32"/>
          <w:highlight w:val="none"/>
          <w:lang w:val="en-US" w:eastAsia="zh-CN"/>
        </w:rPr>
        <w:t>2330</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增长的主要原因是</w:t>
      </w:r>
      <w:r>
        <w:rPr>
          <w:rFonts w:hint="eastAsia" w:ascii="Times New Roman" w:hAnsi="Times New Roman" w:eastAsia="仿宋_GB2312"/>
          <w:color w:val="auto"/>
          <w:sz w:val="32"/>
          <w:szCs w:val="32"/>
          <w:lang w:eastAsia="zh-CN"/>
        </w:rPr>
        <w:t>年初省局划拨陈旧公务车辆一台，新增公务用车运行维护费</w:t>
      </w:r>
      <w:r>
        <w:rPr>
          <w:rFonts w:hint="eastAsia" w:ascii="Times New Roman" w:hAnsi="Times New Roman" w:eastAsia="仿宋_GB2312"/>
          <w:color w:val="auto"/>
          <w:sz w:val="32"/>
          <w:szCs w:val="32"/>
        </w:rPr>
        <w:t>。其中：</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bookmarkStart w:id="17" w:name="OLE_LINK23"/>
      <w:r>
        <w:rPr>
          <w:rFonts w:hint="eastAsia" w:ascii="Times New Roman" w:hAnsi="Times New Roman" w:eastAsia="仿宋_GB2312"/>
          <w:sz w:val="32"/>
          <w:szCs w:val="32"/>
          <w:highlight w:val="none"/>
        </w:rPr>
        <w:t>因公出国（境）费支出</w:t>
      </w:r>
      <w:bookmarkEnd w:id="17"/>
      <w:r>
        <w:rPr>
          <w:rFonts w:hint="eastAsia" w:ascii="Times New Roman" w:hAnsi="Times New Roman" w:eastAsia="仿宋_GB2312"/>
          <w:sz w:val="32"/>
          <w:szCs w:val="32"/>
          <w:highlight w:val="none"/>
        </w:rPr>
        <w:t>预算为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万元，上年度、本年度均无此项预算和支出。</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公务接待费支出预算为0.6</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bookmarkStart w:id="18" w:name="OLE_LINK27"/>
      <w:r>
        <w:rPr>
          <w:rFonts w:hint="eastAsia" w:ascii="Times New Roman" w:hAnsi="Times New Roman" w:eastAsia="仿宋_GB2312"/>
          <w:color w:val="auto"/>
          <w:sz w:val="32"/>
          <w:szCs w:val="32"/>
        </w:rPr>
        <w:t>0.36</w:t>
      </w:r>
      <w:bookmarkEnd w:id="18"/>
      <w:r>
        <w:rPr>
          <w:rFonts w:hint="eastAsia" w:ascii="Times New Roman" w:hAnsi="Times New Roman" w:eastAsia="仿宋_GB2312"/>
          <w:color w:val="auto"/>
          <w:sz w:val="32"/>
          <w:szCs w:val="32"/>
        </w:rPr>
        <w:t>万元，完成预算的</w:t>
      </w:r>
      <w:r>
        <w:rPr>
          <w:rFonts w:hint="eastAsia" w:ascii="Times New Roman" w:hAnsi="Times New Roman" w:eastAsia="仿宋_GB2312"/>
          <w:color w:val="auto"/>
          <w:sz w:val="32"/>
          <w:szCs w:val="32"/>
          <w:lang w:val="en-US" w:eastAsia="zh-CN"/>
        </w:rPr>
        <w:t>60</w:t>
      </w:r>
      <w:r>
        <w:rPr>
          <w:rFonts w:hint="eastAsia" w:ascii="Times New Roman" w:hAnsi="Times New Roman" w:eastAsia="仿宋_GB2312"/>
          <w:color w:val="auto"/>
          <w:sz w:val="32"/>
          <w:szCs w:val="32"/>
        </w:rPr>
        <w:t>%，决算数小于预算数的主要原因是</w:t>
      </w:r>
      <w:r>
        <w:rPr>
          <w:rFonts w:hint="eastAsia" w:ascii="Times New Roman" w:hAnsi="Times New Roman" w:eastAsia="仿宋_GB2312"/>
          <w:color w:val="auto"/>
          <w:sz w:val="32"/>
          <w:szCs w:val="32"/>
          <w:lang w:val="en-US" w:eastAsia="zh-CN"/>
        </w:rPr>
        <w:t>厉行节约</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highlight w:val="none"/>
        </w:rPr>
        <w:t>与上年相比增加</w:t>
      </w:r>
      <w:r>
        <w:rPr>
          <w:rFonts w:hint="eastAsia" w:ascii="Times New Roman" w:hAnsi="Times New Roman" w:eastAsia="仿宋_GB2312"/>
          <w:color w:val="auto"/>
          <w:sz w:val="32"/>
          <w:szCs w:val="32"/>
          <w:highlight w:val="none"/>
          <w:lang w:val="en-US" w:eastAsia="zh-CN"/>
        </w:rPr>
        <w:t>0.16</w:t>
      </w:r>
      <w:r>
        <w:rPr>
          <w:rFonts w:hint="eastAsia" w:ascii="Times New Roman" w:hAnsi="Times New Roman" w:eastAsia="仿宋_GB2312"/>
          <w:color w:val="auto"/>
          <w:sz w:val="32"/>
          <w:szCs w:val="32"/>
          <w:highlight w:val="none"/>
        </w:rPr>
        <w:t>万元，增长</w:t>
      </w:r>
      <w:r>
        <w:rPr>
          <w:rFonts w:hint="eastAsia" w:ascii="Times New Roman" w:hAnsi="Times New Roman" w:eastAsia="仿宋_GB2312"/>
          <w:color w:val="auto"/>
          <w:sz w:val="32"/>
          <w:szCs w:val="32"/>
          <w:highlight w:val="none"/>
          <w:lang w:val="en-US" w:eastAsia="zh-CN"/>
        </w:rPr>
        <w:t>80</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增长的</w:t>
      </w:r>
      <w:bookmarkStart w:id="19" w:name="OLE_LINK5"/>
      <w:r>
        <w:rPr>
          <w:rFonts w:hint="eastAsia" w:ascii="Times New Roman" w:hAnsi="Times New Roman" w:eastAsia="仿宋_GB2312"/>
          <w:color w:val="auto"/>
          <w:sz w:val="32"/>
          <w:szCs w:val="32"/>
        </w:rPr>
        <w:t>主要原因是</w:t>
      </w:r>
      <w:bookmarkEnd w:id="19"/>
      <w:r>
        <w:rPr>
          <w:rFonts w:hint="eastAsia" w:ascii="Times New Roman" w:hAnsi="Times New Roman" w:eastAsia="仿宋_GB2312"/>
          <w:color w:val="auto"/>
          <w:sz w:val="32"/>
          <w:szCs w:val="32"/>
          <w:lang w:eastAsia="zh-CN"/>
        </w:rPr>
        <w:t>疫情结束后，调研工作有所增加</w:t>
      </w:r>
      <w:r>
        <w:rPr>
          <w:rFonts w:hint="eastAsia" w:ascii="Times New Roman" w:hAnsi="Times New Roman" w:eastAsia="仿宋_GB2312"/>
          <w:color w:val="auto"/>
          <w:sz w:val="32"/>
          <w:szCs w:val="32"/>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bookmarkStart w:id="20" w:name="OLE_LINK25"/>
      <w:r>
        <w:rPr>
          <w:rFonts w:hint="eastAsia" w:ascii="Times New Roman" w:hAnsi="Times New Roman" w:eastAsia="仿宋_GB2312"/>
          <w:sz w:val="32"/>
          <w:szCs w:val="32"/>
          <w:highlight w:val="none"/>
        </w:rPr>
        <w:t>公务用车购置费支出</w:t>
      </w:r>
      <w:bookmarkEnd w:id="20"/>
      <w:r>
        <w:rPr>
          <w:rFonts w:hint="eastAsia" w:ascii="Times New Roman" w:hAnsi="Times New Roman" w:eastAsia="仿宋_GB2312"/>
          <w:sz w:val="32"/>
          <w:szCs w:val="32"/>
          <w:highlight w:val="none"/>
        </w:rPr>
        <w:t>预算为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万元，上年度、本年度均无此项预算和支出。</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sz w:val="32"/>
          <w:szCs w:val="32"/>
        </w:rPr>
        <w:t>公务用车运行维护费支出预算为</w:t>
      </w:r>
      <w:bookmarkStart w:id="21" w:name="OLE_LINK28"/>
      <w:r>
        <w:rPr>
          <w:rFonts w:hint="eastAsia" w:ascii="Times New Roman" w:hAnsi="Times New Roman" w:eastAsia="仿宋_GB2312"/>
          <w:sz w:val="32"/>
          <w:szCs w:val="32"/>
          <w:lang w:val="en-US" w:eastAsia="zh-CN"/>
        </w:rPr>
        <w:t>4.50</w:t>
      </w:r>
      <w:bookmarkEnd w:id="21"/>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4.50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highlight w:val="none"/>
        </w:rPr>
        <w:t>决算数</w:t>
      </w:r>
      <w:r>
        <w:rPr>
          <w:rFonts w:hint="eastAsia" w:ascii="Times New Roman" w:hAnsi="Times New Roman" w:eastAsia="仿宋_GB2312"/>
          <w:sz w:val="32"/>
          <w:szCs w:val="32"/>
          <w:highlight w:val="none"/>
          <w:lang w:eastAsia="zh-CN"/>
        </w:rPr>
        <w:t>等于</w:t>
      </w:r>
      <w:r>
        <w:rPr>
          <w:rFonts w:hint="eastAsia" w:ascii="Times New Roman" w:hAnsi="Times New Roman" w:eastAsia="仿宋_GB2312"/>
          <w:sz w:val="32"/>
          <w:szCs w:val="32"/>
          <w:highlight w:val="none"/>
        </w:rPr>
        <w:t>预算数的主要原因是</w:t>
      </w:r>
      <w:r>
        <w:rPr>
          <w:rFonts w:hint="eastAsia" w:ascii="Times New Roman" w:hAnsi="Times New Roman" w:eastAsia="仿宋_GB2312"/>
          <w:sz w:val="32"/>
          <w:szCs w:val="32"/>
          <w:highlight w:val="none"/>
          <w:lang w:eastAsia="zh-CN"/>
        </w:rPr>
        <w:t>收支基本持平</w:t>
      </w:r>
      <w:r>
        <w:rPr>
          <w:rFonts w:hint="eastAsia" w:ascii="Times New Roman" w:hAnsi="Times New Roman" w:eastAsia="仿宋_GB2312"/>
          <w:sz w:val="32"/>
          <w:szCs w:val="32"/>
          <w:highlight w:val="none"/>
        </w:rPr>
        <w:t>，与上年相比增加</w:t>
      </w:r>
      <w:r>
        <w:rPr>
          <w:rFonts w:hint="eastAsia" w:ascii="Times New Roman" w:hAnsi="Times New Roman" w:eastAsia="仿宋_GB2312"/>
          <w:sz w:val="32"/>
          <w:szCs w:val="32"/>
          <w:highlight w:val="none"/>
          <w:lang w:val="en-US" w:eastAsia="zh-CN"/>
        </w:rPr>
        <w:t>4.50</w:t>
      </w:r>
      <w:r>
        <w:rPr>
          <w:rFonts w:hint="eastAsia" w:ascii="Times New Roman" w:hAnsi="Times New Roman" w:eastAsia="仿宋_GB2312"/>
          <w:sz w:val="32"/>
          <w:szCs w:val="32"/>
          <w:highlight w:val="none"/>
        </w:rPr>
        <w:t>万元，</w:t>
      </w:r>
      <w:bookmarkStart w:id="29" w:name="_GoBack"/>
      <w:bookmarkEnd w:id="29"/>
      <w:r>
        <w:rPr>
          <w:rFonts w:hint="eastAsia" w:ascii="Times New Roman" w:hAnsi="Times New Roman" w:eastAsia="仿宋_GB2312"/>
          <w:sz w:val="32"/>
          <w:szCs w:val="32"/>
        </w:rPr>
        <w:t>增长的</w:t>
      </w:r>
      <w:r>
        <w:rPr>
          <w:rFonts w:hint="eastAsia" w:ascii="Times New Roman" w:hAnsi="Times New Roman" w:eastAsia="仿宋_GB2312"/>
          <w:color w:val="auto"/>
          <w:sz w:val="32"/>
          <w:szCs w:val="32"/>
        </w:rPr>
        <w:t>主要原因是</w:t>
      </w:r>
      <w:r>
        <w:rPr>
          <w:rFonts w:hint="eastAsia" w:ascii="Times New Roman" w:hAnsi="Times New Roman" w:eastAsia="仿宋_GB2312"/>
          <w:color w:val="auto"/>
          <w:sz w:val="32"/>
          <w:szCs w:val="32"/>
          <w:lang w:eastAsia="zh-CN"/>
        </w:rPr>
        <w:t>年初省局划拨陈旧公务车辆一台，新增公务用车运行维护费。</w:t>
      </w:r>
    </w:p>
    <w:p>
      <w:pPr>
        <w:pStyle w:val="15"/>
        <w:keepNext w:val="0"/>
        <w:keepLines w:val="0"/>
        <w:pageBreakBefore w:val="0"/>
        <w:widowControl w:val="0"/>
        <w:kinsoku/>
        <w:wordWrap/>
        <w:overflowPunct/>
        <w:topLinePunct w:val="0"/>
        <w:bidi w:val="0"/>
        <w:snapToGrid/>
        <w:spacing w:line="600" w:lineRule="exact"/>
        <w:ind w:firstLine="643"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年度“三公”经费财政拨款支出决算中，公务接待费支出决算0.36万元，占7.4</w:t>
      </w:r>
      <w:r>
        <w:rPr>
          <w:rFonts w:hint="eastAsia" w:ascii="Times New Roman" w:hAnsi="Times New Roman" w:eastAsia="仿宋_GB2312"/>
          <w:sz w:val="32"/>
          <w:szCs w:val="32"/>
          <w:highlight w:val="none"/>
          <w:lang w:val="en-US" w:eastAsia="zh-CN"/>
        </w:rPr>
        <w:t>1</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因公出国（境）费支出决算</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公务用车购置费及运行维护费支出决算</w:t>
      </w:r>
      <w:bookmarkStart w:id="22" w:name="OLE_LINK29"/>
      <w:r>
        <w:rPr>
          <w:rFonts w:hint="eastAsia" w:ascii="Times New Roman" w:hAnsi="Times New Roman" w:eastAsia="仿宋_GB2312"/>
          <w:sz w:val="32"/>
          <w:szCs w:val="32"/>
          <w:highlight w:val="none"/>
        </w:rPr>
        <w:t>4.50</w:t>
      </w:r>
      <w:bookmarkEnd w:id="22"/>
      <w:r>
        <w:rPr>
          <w:rFonts w:hint="eastAsia" w:ascii="Times New Roman" w:hAnsi="Times New Roman" w:eastAsia="仿宋_GB2312"/>
          <w:sz w:val="32"/>
          <w:szCs w:val="32"/>
          <w:highlight w:val="none"/>
        </w:rPr>
        <w:t>万元，占92.</w:t>
      </w:r>
      <w:r>
        <w:rPr>
          <w:rFonts w:hint="eastAsia" w:ascii="Times New Roman" w:hAnsi="Times New Roman" w:eastAsia="仿宋_GB2312"/>
          <w:sz w:val="32"/>
          <w:szCs w:val="32"/>
          <w:highlight w:val="none"/>
          <w:lang w:val="en-US" w:eastAsia="zh-CN"/>
        </w:rPr>
        <w:t>59</w:t>
      </w:r>
      <w:r>
        <w:rPr>
          <w:rFonts w:hint="eastAsia" w:ascii="Times New Roman" w:hAnsi="Times New Roman" w:eastAsia="仿宋_GB2312"/>
          <w:sz w:val="32"/>
          <w:szCs w:val="32"/>
          <w:highlight w:val="none"/>
        </w:rPr>
        <w:t>%。其中：</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仿宋_GB2312" w:cs="楷体"/>
          <w:b/>
          <w:bCs/>
          <w:i/>
          <w:color w:val="auto"/>
          <w:sz w:val="32"/>
          <w:szCs w:val="32"/>
          <w:lang w:val="en-US"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万元，全年安排因公出国（境）团组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个，累计</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0.36</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11</w:t>
      </w:r>
      <w:r>
        <w:rPr>
          <w:rFonts w:hint="eastAsia" w:ascii="Times New Roman" w:hAnsi="Times New Roman" w:eastAsia="仿宋_GB2312"/>
          <w:sz w:val="32"/>
          <w:szCs w:val="32"/>
        </w:rPr>
        <w:t>人次，</w:t>
      </w:r>
      <w:r>
        <w:rPr>
          <w:rFonts w:hint="eastAsia" w:ascii="Times New Roman" w:hAnsi="Times New Roman" w:eastAsia="仿宋_GB2312"/>
          <w:color w:val="auto"/>
          <w:sz w:val="32"/>
          <w:szCs w:val="32"/>
        </w:rPr>
        <w:t>主要是</w:t>
      </w:r>
      <w:r>
        <w:rPr>
          <w:rFonts w:hint="eastAsia" w:ascii="Times New Roman" w:hAnsi="Times New Roman" w:eastAsia="仿宋_GB2312"/>
          <w:color w:val="auto"/>
          <w:sz w:val="32"/>
          <w:szCs w:val="32"/>
          <w:lang w:eastAsia="zh-CN"/>
        </w:rPr>
        <w:t>市场监管总局和湖北省市场监管局调研网络市场监测情况等</w:t>
      </w:r>
      <w:r>
        <w:rPr>
          <w:rFonts w:hint="eastAsia" w:ascii="Times New Roman" w:hAnsi="Times New Roman" w:eastAsia="仿宋_GB2312"/>
          <w:color w:val="auto"/>
          <w:sz w:val="32"/>
          <w:szCs w:val="32"/>
        </w:rPr>
        <w:t>发生的接待支出。</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3、公务用车购置费及运行维护费支出决算为4.50万元，其中：公务用车购置费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bookmarkStart w:id="23" w:name="OLE_LINK30"/>
      <w:r>
        <w:rPr>
          <w:rFonts w:hint="eastAsia" w:ascii="Times New Roman" w:hAnsi="Times New Roman" w:eastAsia="仿宋_GB2312"/>
          <w:sz w:val="32"/>
          <w:szCs w:val="32"/>
        </w:rPr>
        <w:t>，湖南省网络商品交易监测中心更新公务用车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4</w:t>
      </w:r>
      <w:bookmarkStart w:id="24" w:name="OLE_LINK6"/>
      <w:r>
        <w:rPr>
          <w:rFonts w:hint="eastAsia" w:ascii="Times New Roman" w:hAnsi="Times New Roman" w:eastAsia="仿宋_GB2312"/>
          <w:sz w:val="32"/>
          <w:szCs w:val="32"/>
          <w:lang w:val="en-US" w:eastAsia="zh-CN"/>
        </w:rPr>
        <w:t>.5</w:t>
      </w:r>
      <w:bookmarkEnd w:id="24"/>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万元，主</w:t>
      </w:r>
      <w:bookmarkEnd w:id="23"/>
      <w:r>
        <w:rPr>
          <w:rFonts w:hint="eastAsia" w:ascii="Times New Roman" w:hAnsi="Times New Roman" w:eastAsia="仿宋_GB2312"/>
          <w:sz w:val="32"/>
          <w:szCs w:val="32"/>
        </w:rPr>
        <w:t>要是</w:t>
      </w:r>
      <w:r>
        <w:rPr>
          <w:rFonts w:hint="eastAsia" w:ascii="Times New Roman" w:hAnsi="Times New Roman" w:eastAsia="仿宋_GB2312"/>
          <w:sz w:val="32"/>
          <w:szCs w:val="32"/>
          <w:lang w:val="en-US" w:eastAsia="zh-CN"/>
        </w:rPr>
        <w:t>车辆维护、燃油等</w:t>
      </w:r>
      <w:r>
        <w:rPr>
          <w:rFonts w:hint="eastAsia" w:ascii="Times New Roman" w:hAnsi="Times New Roman" w:eastAsia="仿宋_GB2312"/>
          <w:sz w:val="32"/>
          <w:szCs w:val="32"/>
        </w:rPr>
        <w:t>支出，</w:t>
      </w:r>
      <w:r>
        <w:rPr>
          <w:rFonts w:hint="eastAsia" w:ascii="Times New Roman" w:hAnsi="Times New Roman" w:eastAsia="仿宋_GB2312"/>
          <w:sz w:val="32"/>
          <w:szCs w:val="32"/>
          <w:highlight w:val="none"/>
        </w:rPr>
        <w:t>截止202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年12月31日，我单位开支财政拨款的公务用车保有量为</w:t>
      </w:r>
      <w:r>
        <w:rPr>
          <w:rFonts w:hint="eastAsia" w:ascii="Times New Roman" w:hAnsi="Times New Roman" w:eastAsia="仿宋_GB2312"/>
          <w:sz w:val="32"/>
          <w:szCs w:val="32"/>
          <w:highlight w:val="none"/>
          <w:lang w:val="en-US" w:eastAsia="zh-CN"/>
        </w:rPr>
        <w:t>1</w:t>
      </w:r>
      <w:r>
        <w:rPr>
          <w:rFonts w:hint="eastAsia" w:ascii="Times New Roman" w:hAnsi="Times New Roman" w:eastAsia="仿宋_GB2312"/>
          <w:sz w:val="32"/>
          <w:szCs w:val="32"/>
          <w:highlight w:val="none"/>
        </w:rPr>
        <w:t>辆</w:t>
      </w:r>
      <w:r>
        <w:rPr>
          <w:rFonts w:hint="eastAsia" w:ascii="Times New Roman" w:hAnsi="Times New Roman" w:eastAsia="仿宋_GB2312"/>
          <w:sz w:val="32"/>
          <w:szCs w:val="32"/>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湖南省网络商品交易监测中心没有政府性基金收入，也没有使用政府性基金安排的支出。</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九、关于机关运行经费支出说明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本</w:t>
      </w:r>
      <w:r>
        <w:rPr>
          <w:rFonts w:hint="eastAsia" w:ascii="Times New Roman" w:hAnsi="Times New Roman" w:eastAsia="仿宋_GB2312"/>
          <w:sz w:val="32"/>
          <w:szCs w:val="32"/>
          <w:highlight w:val="none"/>
          <w:lang w:eastAsia="zh-CN"/>
        </w:rPr>
        <w:t>单位</w:t>
      </w: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年度机关运行经费支出66.86万元，比年初预算数减少8.84万元</w:t>
      </w:r>
      <w:r>
        <w:rPr>
          <w:rFonts w:hint="eastAsia" w:ascii="Times New Roman" w:hAnsi="Times New Roman" w:eastAsia="仿宋_GB2312"/>
          <w:color w:val="auto"/>
          <w:sz w:val="32"/>
          <w:szCs w:val="32"/>
          <w:highlight w:val="none"/>
        </w:rPr>
        <w:t>，降低</w:t>
      </w:r>
      <w:r>
        <w:rPr>
          <w:rFonts w:hint="eastAsia" w:ascii="Times New Roman" w:hAnsi="Times New Roman" w:eastAsia="仿宋_GB2312"/>
          <w:color w:val="auto"/>
          <w:sz w:val="32"/>
          <w:szCs w:val="32"/>
          <w:highlight w:val="none"/>
          <w:lang w:val="en-US" w:eastAsia="zh-CN"/>
        </w:rPr>
        <w:t>11.68</w:t>
      </w:r>
      <w:r>
        <w:rPr>
          <w:rFonts w:hint="eastAsia" w:ascii="Times New Roman" w:hAnsi="Times New Roman" w:eastAsia="仿宋_GB2312"/>
          <w:color w:val="auto"/>
          <w:sz w:val="32"/>
          <w:szCs w:val="32"/>
          <w:highlight w:val="none"/>
        </w:rPr>
        <w:t>%</w:t>
      </w:r>
      <w:r>
        <w:rPr>
          <w:rFonts w:hint="eastAsia" w:ascii="Times New Roman" w:hAnsi="Times New Roman" w:eastAsia="仿宋_GB2312"/>
          <w:sz w:val="32"/>
          <w:szCs w:val="32"/>
          <w:highlight w:val="none"/>
        </w:rPr>
        <w:t>。主要原因是</w:t>
      </w:r>
      <w:r>
        <w:rPr>
          <w:rFonts w:hint="eastAsia" w:ascii="Times New Roman" w:hAnsi="Times New Roman" w:eastAsia="仿宋_GB2312"/>
          <w:sz w:val="32"/>
          <w:szCs w:val="32"/>
          <w:highlight w:val="none"/>
          <w:lang w:eastAsia="zh-CN"/>
        </w:rPr>
        <w:t>：</w:t>
      </w:r>
      <w:r>
        <w:rPr>
          <w:rFonts w:hint="eastAsia" w:ascii="仿宋" w:hAnsi="仿宋" w:eastAsia="仿宋" w:cs="仿宋"/>
          <w:color w:val="auto"/>
          <w:sz w:val="32"/>
          <w:szCs w:val="32"/>
          <w:highlight w:val="none"/>
          <w:lang w:val="en-US" w:eastAsia="zh-CN"/>
        </w:rPr>
        <w:t>用于离退休人员活动费用减少</w:t>
      </w:r>
      <w:r>
        <w:rPr>
          <w:rFonts w:hint="eastAsia" w:ascii="Times New Roman" w:hAnsi="Times New Roman" w:eastAsia="仿宋_GB2312"/>
          <w:sz w:val="32"/>
          <w:szCs w:val="32"/>
          <w:highlight w:val="none"/>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2023年本</w:t>
      </w:r>
      <w:r>
        <w:rPr>
          <w:rFonts w:hint="eastAsia" w:ascii="Times New Roman" w:hAnsi="Times New Roman" w:eastAsia="仿宋_GB2312"/>
          <w:color w:val="auto"/>
          <w:sz w:val="32"/>
          <w:szCs w:val="32"/>
          <w:highlight w:val="none"/>
          <w:lang w:eastAsia="zh-CN"/>
        </w:rPr>
        <w:t>单位</w:t>
      </w:r>
      <w:r>
        <w:rPr>
          <w:rFonts w:hint="eastAsia" w:ascii="Times New Roman" w:hAnsi="Times New Roman" w:eastAsia="仿宋_GB2312"/>
          <w:color w:val="auto"/>
          <w:sz w:val="32"/>
          <w:szCs w:val="32"/>
          <w:highlight w:val="none"/>
        </w:rPr>
        <w:t>开支会议费1.90万元，用于召开网络交易和广告监测综合业务研讨会，人数54人，内容为了解并掌握基层监测工作需求，促进工作协同，有效提升监测和研判水平，助推全省网络交易监测平台建设，做好网络交易、广告监管技术支撑工作等；开支培训费10.94万元，用于开展网络交易和广告监测综合业务培训、事业单位工作人员培训、电子数据调查分析技术培训等，人数38人，内容为事业单位各项法律法规、网络交易监测实操应用、电子数据取证及固证等；未举办节庆、晚会、论坛、赛事等，开支0万元。</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sz w:val="32"/>
          <w:szCs w:val="32"/>
          <w:highlight w:val="none"/>
        </w:rPr>
        <w:t>本</w:t>
      </w:r>
      <w:r>
        <w:rPr>
          <w:rFonts w:hint="eastAsia" w:ascii="Times New Roman" w:hAnsi="Times New Roman" w:eastAsia="仿宋_GB2312"/>
          <w:sz w:val="32"/>
          <w:szCs w:val="32"/>
          <w:highlight w:val="none"/>
          <w:lang w:eastAsia="zh-CN"/>
        </w:rPr>
        <w:t>单位</w:t>
      </w: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年度政府采购支出总额59.51万元，其中：政府采购货物支出19.44万元、政府采购工程支出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万元、政府采购服务支出40.0</w:t>
      </w:r>
      <w:r>
        <w:rPr>
          <w:rFonts w:hint="eastAsia" w:ascii="Times New Roman" w:hAnsi="Times New Roman" w:eastAsia="仿宋_GB2312"/>
          <w:sz w:val="32"/>
          <w:szCs w:val="32"/>
          <w:highlight w:val="none"/>
          <w:lang w:val="en-US" w:eastAsia="zh-CN"/>
        </w:rPr>
        <w:t>7</w:t>
      </w:r>
      <w:r>
        <w:rPr>
          <w:rFonts w:hint="eastAsia" w:ascii="Times New Roman" w:hAnsi="Times New Roman" w:eastAsia="仿宋_GB2312"/>
          <w:sz w:val="32"/>
          <w:szCs w:val="32"/>
          <w:highlight w:val="none"/>
        </w:rPr>
        <w:t>万元。授予中小企业合同金额</w:t>
      </w:r>
      <w:r>
        <w:rPr>
          <w:rFonts w:hint="eastAsia" w:ascii="Times New Roman" w:hAnsi="Times New Roman" w:eastAsia="仿宋_GB2312"/>
          <w:sz w:val="32"/>
          <w:szCs w:val="32"/>
          <w:highlight w:val="none"/>
          <w:lang w:val="en-US" w:eastAsia="zh-CN"/>
        </w:rPr>
        <w:t>59.91</w:t>
      </w:r>
      <w:r>
        <w:rPr>
          <w:rFonts w:hint="eastAsia" w:ascii="Times New Roman" w:hAnsi="Times New Roman" w:eastAsia="仿宋_GB2312"/>
          <w:sz w:val="32"/>
          <w:szCs w:val="32"/>
          <w:highlight w:val="none"/>
        </w:rPr>
        <w:t>万元，占政府采购支出总额的</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rPr>
        <w:t>其中：授予小微企业合同金额</w:t>
      </w:r>
      <w:r>
        <w:rPr>
          <w:rFonts w:hint="eastAsia" w:ascii="Times New Roman" w:hAnsi="Times New Roman" w:eastAsia="仿宋_GB2312"/>
          <w:sz w:val="32"/>
          <w:szCs w:val="32"/>
          <w:lang w:val="en-US" w:eastAsia="zh-CN"/>
        </w:rPr>
        <w:t>59.51</w:t>
      </w:r>
      <w:r>
        <w:rPr>
          <w:rFonts w:hint="eastAsia" w:ascii="Times New Roman" w:hAnsi="Times New Roman" w:eastAsia="仿宋_GB2312"/>
          <w:sz w:val="32"/>
          <w:szCs w:val="32"/>
        </w:rPr>
        <w:t>万元，</w:t>
      </w:r>
      <w:r>
        <w:rPr>
          <w:rFonts w:hint="eastAsia" w:ascii="Times New Roman" w:hAnsi="Times New Roman" w:eastAsia="仿宋_GB2312"/>
          <w:color w:val="auto"/>
          <w:sz w:val="32"/>
          <w:szCs w:val="32"/>
        </w:rPr>
        <w:t>占</w:t>
      </w:r>
      <w:r>
        <w:rPr>
          <w:rFonts w:hint="eastAsia" w:ascii="Times New Roman" w:hAnsi="Times New Roman" w:eastAsia="仿宋_GB2312"/>
          <w:color w:val="auto"/>
          <w:sz w:val="32"/>
          <w:szCs w:val="32"/>
          <w:lang w:eastAsia="zh-CN"/>
        </w:rPr>
        <w:t>授予中小企业合同金额</w:t>
      </w:r>
      <w:r>
        <w:rPr>
          <w:rFonts w:hint="eastAsia" w:ascii="Times New Roman" w:hAnsi="Times New Roman" w:eastAsia="仿宋_GB2312"/>
          <w:color w:val="auto"/>
          <w:sz w:val="32"/>
          <w:szCs w:val="32"/>
        </w:rPr>
        <w:t>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%。货物采购授予中小企业合同金额占货物支出金额的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%，工程采购授予中小企业合同金额占工程支出金额的百分比无法计算，原因是政府采购工程支出金额为0万元，服务采购授予中小企业合同金额占服务支出金额的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十二、关于国有资产占用情况说明</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highlight w:val="none"/>
        </w:rPr>
        <w:t>截至202</w:t>
      </w:r>
      <w:r>
        <w:rPr>
          <w:rFonts w:hint="eastAsia" w:ascii="Times New Roman" w:hAnsi="Times New Roman" w:eastAsia="仿宋_GB2312"/>
          <w:color w:val="auto"/>
          <w:sz w:val="32"/>
          <w:szCs w:val="32"/>
          <w:highlight w:val="none"/>
          <w:lang w:val="en-US" w:eastAsia="zh-CN"/>
        </w:rPr>
        <w:t>3</w:t>
      </w:r>
      <w:r>
        <w:rPr>
          <w:rFonts w:hint="eastAsia" w:ascii="Times New Roman" w:hAnsi="Times New Roman" w:eastAsia="仿宋_GB2312"/>
          <w:color w:val="auto"/>
          <w:sz w:val="32"/>
          <w:szCs w:val="32"/>
          <w:highlight w:val="none"/>
        </w:rPr>
        <w:t>年12月31日，</w:t>
      </w:r>
      <w:r>
        <w:rPr>
          <w:rFonts w:hint="eastAsia" w:ascii="Times New Roman" w:hAnsi="Times New Roman" w:eastAsia="仿宋_GB2312"/>
          <w:color w:val="auto"/>
          <w:sz w:val="32"/>
          <w:szCs w:val="32"/>
          <w:highlight w:val="none"/>
          <w:lang w:eastAsia="zh-CN"/>
        </w:rPr>
        <w:t>单位</w:t>
      </w:r>
      <w:r>
        <w:rPr>
          <w:rFonts w:hint="eastAsia" w:ascii="Times New Roman" w:hAnsi="Times New Roman" w:eastAsia="仿宋_GB2312"/>
          <w:color w:val="auto"/>
          <w:sz w:val="32"/>
          <w:szCs w:val="32"/>
          <w:highlight w:val="none"/>
        </w:rPr>
        <w:t>共有车辆</w:t>
      </w:r>
      <w:r>
        <w:rPr>
          <w:rFonts w:hint="eastAsia" w:ascii="Times New Roman" w:hAnsi="Times New Roman" w:eastAsia="仿宋_GB2312"/>
          <w:color w:val="auto"/>
          <w:sz w:val="32"/>
          <w:szCs w:val="32"/>
          <w:highlight w:val="none"/>
          <w:lang w:val="en-US" w:eastAsia="zh-CN"/>
        </w:rPr>
        <w:t>1</w:t>
      </w:r>
      <w:r>
        <w:rPr>
          <w:rFonts w:hint="eastAsia" w:ascii="Times New Roman" w:hAnsi="Times New Roman" w:eastAsia="仿宋_GB2312"/>
          <w:color w:val="auto"/>
          <w:sz w:val="32"/>
          <w:szCs w:val="32"/>
          <w:highlight w:val="none"/>
        </w:rPr>
        <w:t>辆，</w:t>
      </w:r>
      <w:r>
        <w:rPr>
          <w:rFonts w:hint="eastAsia" w:ascii="Times New Roman" w:hAnsi="Times New Roman" w:eastAsia="仿宋_GB2312"/>
          <w:color w:val="auto"/>
          <w:sz w:val="32"/>
          <w:szCs w:val="32"/>
        </w:rPr>
        <w:t>其中</w:t>
      </w:r>
      <w:r>
        <w:rPr>
          <w:rFonts w:hint="eastAsia" w:ascii="Times New Roman" w:hAnsi="Times New Roman" w:eastAsia="仿宋_GB2312"/>
          <w:color w:val="auto"/>
          <w:sz w:val="32"/>
          <w:szCs w:val="32"/>
          <w:lang w:eastAsia="zh-CN"/>
        </w:rPr>
        <w:t>，副部（省）级及以上领导用车</w:t>
      </w:r>
      <w:bookmarkStart w:id="25" w:name="OLE_LINK11"/>
      <w:r>
        <w:rPr>
          <w:rFonts w:hint="eastAsia" w:ascii="Times New Roman" w:hAnsi="Times New Roman" w:eastAsia="仿宋_GB2312"/>
          <w:color w:val="auto"/>
          <w:sz w:val="32"/>
          <w:szCs w:val="32"/>
          <w:lang w:val="en-US" w:eastAsia="zh-CN"/>
        </w:rPr>
        <w:t>0</w:t>
      </w:r>
      <w:bookmarkEnd w:id="25"/>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主要</w:t>
      </w:r>
      <w:r>
        <w:rPr>
          <w:rFonts w:hint="eastAsia" w:ascii="Times New Roman" w:hAnsi="Times New Roman" w:eastAsia="仿宋_GB2312"/>
          <w:color w:val="auto"/>
          <w:sz w:val="32"/>
          <w:szCs w:val="32"/>
          <w:lang w:eastAsia="zh-CN"/>
        </w:rPr>
        <w:t>负责人</w:t>
      </w:r>
      <w:r>
        <w:rPr>
          <w:rFonts w:hint="eastAsia" w:ascii="Times New Roman" w:hAnsi="Times New Roman" w:eastAsia="仿宋_GB2312"/>
          <w:color w:val="auto"/>
          <w:sz w:val="32"/>
          <w:szCs w:val="32"/>
        </w:rPr>
        <w:t>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机要通信用车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辆、应急保障用车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辆、执法执勤用车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辆、特种专业技术用车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离退休干部服务用车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辆、其他用车</w:t>
      </w:r>
      <w:r>
        <w:rPr>
          <w:rFonts w:hint="eastAsia" w:ascii="Times New Roman" w:hAnsi="Times New Roman" w:eastAsia="仿宋_GB2312"/>
          <w:color w:val="auto"/>
          <w:sz w:val="32"/>
          <w:szCs w:val="32"/>
          <w:lang w:val="en-US" w:eastAsia="zh-CN"/>
        </w:rPr>
        <w:t>1</w:t>
      </w:r>
      <w:r>
        <w:rPr>
          <w:rFonts w:hint="eastAsia" w:ascii="Times New Roman" w:hAnsi="Times New Roman" w:eastAsia="仿宋_GB2312"/>
          <w:color w:val="auto"/>
          <w:sz w:val="32"/>
          <w:szCs w:val="32"/>
        </w:rPr>
        <w:t>辆，其他用车主要是</w:t>
      </w:r>
      <w:r>
        <w:rPr>
          <w:rFonts w:hint="eastAsia" w:ascii="Times New Roman" w:hAnsi="Times New Roman" w:eastAsia="仿宋_GB2312"/>
          <w:color w:val="auto"/>
          <w:sz w:val="32"/>
          <w:szCs w:val="32"/>
          <w:lang w:val="en-US" w:eastAsia="zh-CN"/>
        </w:rPr>
        <w:t>一般公务用车</w:t>
      </w:r>
      <w:r>
        <w:rPr>
          <w:rFonts w:hint="eastAsia" w:ascii="Times New Roman" w:hAnsi="Times New Roman" w:eastAsia="仿宋_GB2312"/>
          <w:color w:val="auto"/>
          <w:sz w:val="32"/>
          <w:szCs w:val="32"/>
        </w:rPr>
        <w:t>；单位价值100万元以上设备</w:t>
      </w:r>
      <w:r>
        <w:rPr>
          <w:rFonts w:hint="eastAsia" w:ascii="Times New Roman" w:hAnsi="Times New Roman" w:eastAsia="仿宋_GB2312"/>
          <w:color w:val="auto"/>
          <w:sz w:val="32"/>
          <w:szCs w:val="32"/>
          <w:lang w:eastAsia="zh-CN"/>
        </w:rPr>
        <w:t>（不含车辆）</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台（套）。</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十三、关于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keepNext w:val="0"/>
        <w:keepLines w:val="0"/>
        <w:pageBreakBefore w:val="0"/>
        <w:widowControl w:val="0"/>
        <w:kinsoku/>
        <w:wordWrap/>
        <w:overflowPunct/>
        <w:topLinePunct w:val="0"/>
        <w:autoSpaceDE w:val="0"/>
        <w:autoSpaceDN w:val="0"/>
        <w:bidi w:val="0"/>
        <w:adjustRightInd w:val="0"/>
        <w:snapToGrid/>
        <w:spacing w:line="580" w:lineRule="atLeast"/>
        <w:ind w:left="0" w:leftChars="0" w:right="0" w:rightChars="0" w:firstLine="640" w:firstLineChars="200"/>
        <w:jc w:val="left"/>
        <w:textAlignment w:val="auto"/>
        <w:outlineLvl w:val="9"/>
        <w:rPr>
          <w:rFonts w:hint="eastAsia" w:ascii="楷体" w:hAnsi="楷体" w:eastAsia="楷体" w:cs="楷体"/>
          <w:b/>
          <w:bCs/>
          <w:sz w:val="32"/>
          <w:szCs w:val="32"/>
          <w:lang w:eastAsia="zh-CN"/>
        </w:rPr>
      </w:pPr>
      <w:r>
        <w:rPr>
          <w:rFonts w:hint="eastAsia" w:ascii="仿宋" w:hAnsi="仿宋" w:eastAsia="仿宋" w:cs="仿宋"/>
          <w:color w:val="auto"/>
          <w:kern w:val="0"/>
          <w:sz w:val="32"/>
          <w:szCs w:val="32"/>
        </w:rPr>
        <w:t>根据预算绩效管理要求，</w:t>
      </w:r>
      <w:r>
        <w:rPr>
          <w:rFonts w:hint="eastAsia" w:ascii="仿宋" w:hAnsi="仿宋" w:eastAsia="仿宋" w:cs="仿宋"/>
          <w:color w:val="auto"/>
          <w:kern w:val="0"/>
          <w:sz w:val="32"/>
          <w:szCs w:val="32"/>
          <w:highlight w:val="none"/>
        </w:rPr>
        <w:t>我</w:t>
      </w:r>
      <w:r>
        <w:rPr>
          <w:rFonts w:hint="eastAsia" w:ascii="仿宋" w:hAnsi="仿宋" w:eastAsia="仿宋" w:cs="仿宋"/>
          <w:color w:val="auto"/>
          <w:kern w:val="0"/>
          <w:sz w:val="32"/>
          <w:szCs w:val="32"/>
          <w:highlight w:val="none"/>
          <w:lang w:eastAsia="zh-CN"/>
        </w:rPr>
        <w:t>单位</w:t>
      </w:r>
      <w:r>
        <w:rPr>
          <w:rFonts w:hint="eastAsia" w:ascii="仿宋" w:hAnsi="仿宋" w:eastAsia="仿宋" w:cs="仿宋"/>
          <w:color w:val="auto"/>
          <w:kern w:val="0"/>
          <w:sz w:val="32"/>
          <w:szCs w:val="32"/>
          <w:highlight w:val="none"/>
        </w:rPr>
        <w:t>组织对202</w:t>
      </w:r>
      <w:r>
        <w:rPr>
          <w:rFonts w:hint="eastAsia" w:ascii="仿宋" w:hAnsi="仿宋" w:eastAsia="仿宋" w:cs="仿宋"/>
          <w:color w:val="auto"/>
          <w:kern w:val="0"/>
          <w:sz w:val="32"/>
          <w:szCs w:val="32"/>
          <w:highlight w:val="none"/>
          <w:lang w:val="en-US" w:eastAsia="zh-CN"/>
        </w:rPr>
        <w:t>3</w:t>
      </w:r>
      <w:r>
        <w:rPr>
          <w:rFonts w:hint="eastAsia" w:ascii="仿宋" w:hAnsi="仿宋" w:eastAsia="仿宋" w:cs="仿宋"/>
          <w:color w:val="auto"/>
          <w:kern w:val="0"/>
          <w:sz w:val="32"/>
          <w:szCs w:val="32"/>
          <w:highlight w:val="none"/>
        </w:rPr>
        <w:t>年度</w:t>
      </w:r>
      <w:r>
        <w:rPr>
          <w:rFonts w:hint="eastAsia" w:ascii="仿宋" w:hAnsi="仿宋" w:eastAsia="仿宋" w:cs="仿宋"/>
          <w:color w:val="auto"/>
          <w:kern w:val="0"/>
          <w:sz w:val="32"/>
          <w:szCs w:val="32"/>
          <w:highlight w:val="none"/>
          <w:lang w:eastAsia="zh-CN"/>
        </w:rPr>
        <w:t>单位预算整体支出进行绩效</w:t>
      </w:r>
      <w:r>
        <w:rPr>
          <w:rFonts w:hint="eastAsia" w:ascii="仿宋" w:hAnsi="仿宋" w:eastAsia="仿宋" w:cs="仿宋"/>
          <w:color w:val="auto"/>
          <w:kern w:val="0"/>
          <w:sz w:val="32"/>
          <w:szCs w:val="32"/>
          <w:highlight w:val="none"/>
        </w:rPr>
        <w:t>评价</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lang w:eastAsia="zh-CN"/>
        </w:rPr>
        <w:t>从评价</w:t>
      </w:r>
      <w:r>
        <w:rPr>
          <w:rFonts w:hint="eastAsia" w:ascii="仿宋" w:hAnsi="仿宋" w:eastAsia="仿宋" w:cs="仿宋"/>
          <w:color w:val="auto"/>
          <w:kern w:val="0"/>
          <w:sz w:val="32"/>
          <w:szCs w:val="32"/>
        </w:rPr>
        <w:t>情况来看湖南省</w:t>
      </w:r>
      <w:r>
        <w:rPr>
          <w:rFonts w:hint="eastAsia" w:ascii="仿宋" w:hAnsi="仿宋" w:eastAsia="仿宋" w:cs="仿宋"/>
          <w:color w:val="auto"/>
          <w:kern w:val="0"/>
          <w:sz w:val="32"/>
          <w:szCs w:val="32"/>
          <w:lang w:eastAsia="zh-CN"/>
        </w:rPr>
        <w:t>网络商品交易监测</w:t>
      </w:r>
      <w:r>
        <w:rPr>
          <w:rFonts w:hint="eastAsia" w:ascii="仿宋" w:hAnsi="仿宋" w:eastAsia="仿宋" w:cs="仿宋"/>
          <w:color w:val="auto"/>
          <w:kern w:val="0"/>
          <w:sz w:val="32"/>
          <w:szCs w:val="32"/>
        </w:rPr>
        <w:t>中心</w:t>
      </w:r>
      <w:r>
        <w:rPr>
          <w:rFonts w:hint="eastAsia" w:ascii="仿宋" w:hAnsi="仿宋" w:eastAsia="仿宋" w:cs="仿宋"/>
          <w:color w:val="auto"/>
          <w:kern w:val="0"/>
          <w:sz w:val="32"/>
          <w:szCs w:val="32"/>
          <w:lang w:eastAsia="zh-CN"/>
        </w:rPr>
        <w:t>较好</w:t>
      </w:r>
      <w:r>
        <w:rPr>
          <w:rFonts w:hint="eastAsia" w:ascii="仿宋" w:hAnsi="仿宋" w:eastAsia="仿宋" w:cs="仿宋"/>
          <w:color w:val="auto"/>
          <w:kern w:val="0"/>
          <w:sz w:val="32"/>
          <w:szCs w:val="32"/>
        </w:rPr>
        <w:t>完成了“保人员，保运转”的绩效目标</w:t>
      </w:r>
      <w:r>
        <w:rPr>
          <w:rFonts w:hint="eastAsia" w:ascii="仿宋" w:hAnsi="仿宋" w:eastAsia="仿宋" w:cs="仿宋"/>
          <w:color w:val="auto"/>
          <w:kern w:val="0"/>
          <w:sz w:val="32"/>
          <w:szCs w:val="32"/>
          <w:lang w:eastAsia="zh-CN"/>
        </w:rPr>
        <w:t>。</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highlight w:val="none"/>
        </w:rPr>
      </w:pPr>
      <w:bookmarkStart w:id="26" w:name="OLE_LINK20"/>
      <w:r>
        <w:rPr>
          <w:rFonts w:hint="eastAsia" w:ascii="楷体" w:hAnsi="楷体" w:eastAsia="楷体" w:cs="楷体"/>
          <w:b/>
          <w:bCs/>
          <w:sz w:val="32"/>
          <w:szCs w:val="32"/>
          <w:lang w:eastAsia="zh-CN"/>
        </w:rPr>
        <w:t>（二）单位</w:t>
      </w:r>
      <w:r>
        <w:rPr>
          <w:rFonts w:hint="eastAsia" w:ascii="楷体" w:hAnsi="楷体" w:eastAsia="楷体" w:cs="楷体"/>
          <w:b/>
          <w:bCs/>
          <w:sz w:val="32"/>
          <w:szCs w:val="32"/>
        </w:rPr>
        <w:t>整体支出绩效情况</w:t>
      </w:r>
    </w:p>
    <w:p>
      <w:pPr>
        <w:keepNext w:val="0"/>
        <w:keepLines w:val="0"/>
        <w:pageBreakBefore w:val="0"/>
        <w:numPr>
          <w:ilvl w:val="0"/>
          <w:numId w:val="0"/>
        </w:numPr>
        <w:wordWrap/>
        <w:overflowPunct/>
        <w:topLinePunct w:val="0"/>
        <w:bidi w:val="0"/>
        <w:adjustRightInd w:val="0"/>
        <w:snapToGrid w:val="0"/>
        <w:spacing w:line="560" w:lineRule="exact"/>
        <w:ind w:right="0" w:rightChars="0" w:firstLine="640" w:firstLineChars="200"/>
        <w:jc w:val="both"/>
        <w:rPr>
          <w:rFonts w:hint="eastAsia" w:ascii="楷体" w:hAnsi="楷体" w:eastAsia="楷体" w:cs="楷体"/>
          <w:b/>
          <w:bCs/>
          <w:sz w:val="32"/>
          <w:szCs w:val="32"/>
        </w:rPr>
      </w:pPr>
      <w:r>
        <w:rPr>
          <w:rFonts w:hint="eastAsia" w:ascii="仿宋" w:hAnsi="仿宋" w:eastAsia="仿宋" w:cs="仿宋"/>
          <w:color w:val="000000"/>
          <w:sz w:val="32"/>
          <w:szCs w:val="32"/>
          <w:highlight w:val="none"/>
          <w:shd w:val="clear" w:color="auto" w:fill="FFFFFF"/>
        </w:rPr>
        <w:t>202</w:t>
      </w:r>
      <w:r>
        <w:rPr>
          <w:rFonts w:hint="eastAsia" w:ascii="仿宋" w:hAnsi="仿宋" w:eastAsia="仿宋" w:cs="仿宋"/>
          <w:color w:val="000000"/>
          <w:sz w:val="32"/>
          <w:szCs w:val="32"/>
          <w:highlight w:val="none"/>
          <w:shd w:val="clear" w:color="auto" w:fill="FFFFFF"/>
          <w:lang w:val="en-US" w:eastAsia="zh-CN"/>
        </w:rPr>
        <w:t>3</w:t>
      </w:r>
      <w:r>
        <w:rPr>
          <w:rFonts w:hint="eastAsia" w:ascii="仿宋" w:hAnsi="仿宋" w:eastAsia="仿宋" w:cs="仿宋"/>
          <w:color w:val="000000"/>
          <w:sz w:val="32"/>
          <w:szCs w:val="32"/>
          <w:highlight w:val="none"/>
          <w:shd w:val="clear" w:color="auto" w:fill="FFFFFF"/>
        </w:rPr>
        <w:t>年全年预算数为</w:t>
      </w:r>
      <w:r>
        <w:rPr>
          <w:rFonts w:hint="eastAsia" w:ascii="仿宋" w:hAnsi="仿宋" w:eastAsia="仿宋" w:cs="仿宋"/>
          <w:color w:val="000000"/>
          <w:sz w:val="32"/>
          <w:szCs w:val="32"/>
          <w:highlight w:val="none"/>
          <w:shd w:val="clear" w:color="auto" w:fill="FFFFFF"/>
          <w:lang w:val="en-US" w:eastAsia="zh-CN"/>
        </w:rPr>
        <w:t>1142.71</w:t>
      </w:r>
      <w:r>
        <w:rPr>
          <w:rFonts w:hint="eastAsia" w:ascii="仿宋" w:hAnsi="仿宋" w:eastAsia="仿宋" w:cs="仿宋"/>
          <w:color w:val="000000"/>
          <w:sz w:val="32"/>
          <w:szCs w:val="32"/>
          <w:highlight w:val="none"/>
          <w:shd w:val="clear" w:color="auto" w:fill="FFFFFF"/>
        </w:rPr>
        <w:t>万元，支出</w:t>
      </w:r>
      <w:r>
        <w:rPr>
          <w:rFonts w:hint="eastAsia" w:ascii="仿宋" w:hAnsi="仿宋" w:eastAsia="仿宋" w:cs="仿宋"/>
          <w:color w:val="000000"/>
          <w:sz w:val="32"/>
          <w:szCs w:val="32"/>
          <w:highlight w:val="none"/>
          <w:shd w:val="clear" w:color="auto" w:fill="FFFFFF"/>
          <w:lang w:val="en-US" w:eastAsia="zh-CN"/>
        </w:rPr>
        <w:t>721.63</w:t>
      </w:r>
      <w:r>
        <w:rPr>
          <w:rFonts w:hint="eastAsia" w:ascii="仿宋" w:hAnsi="仿宋" w:eastAsia="仿宋" w:cs="仿宋"/>
          <w:color w:val="000000"/>
          <w:sz w:val="32"/>
          <w:szCs w:val="32"/>
          <w:highlight w:val="none"/>
          <w:shd w:val="clear" w:color="auto" w:fill="FFFFFF"/>
        </w:rPr>
        <w:t>万元，其中：基本支出为</w:t>
      </w:r>
      <w:r>
        <w:rPr>
          <w:rFonts w:hint="eastAsia" w:ascii="仿宋" w:hAnsi="仿宋" w:eastAsia="仿宋" w:cs="仿宋"/>
          <w:color w:val="000000"/>
          <w:sz w:val="32"/>
          <w:szCs w:val="32"/>
          <w:highlight w:val="none"/>
          <w:shd w:val="clear" w:color="auto" w:fill="FFFFFF"/>
          <w:lang w:val="en-US" w:eastAsia="zh-CN"/>
        </w:rPr>
        <w:t>625.92</w:t>
      </w:r>
      <w:r>
        <w:rPr>
          <w:rFonts w:hint="eastAsia" w:ascii="仿宋" w:hAnsi="仿宋" w:eastAsia="仿宋" w:cs="仿宋"/>
          <w:color w:val="000000"/>
          <w:sz w:val="32"/>
          <w:szCs w:val="32"/>
          <w:highlight w:val="none"/>
          <w:shd w:val="clear" w:color="auto" w:fill="FFFFFF"/>
        </w:rPr>
        <w:t>万元，项目支出</w:t>
      </w:r>
      <w:r>
        <w:rPr>
          <w:rFonts w:hint="eastAsia" w:ascii="仿宋" w:hAnsi="仿宋" w:eastAsia="仿宋" w:cs="仿宋"/>
          <w:color w:val="000000"/>
          <w:sz w:val="32"/>
          <w:szCs w:val="32"/>
          <w:highlight w:val="none"/>
          <w:shd w:val="clear" w:color="auto" w:fill="FFFFFF"/>
          <w:lang w:val="en-US" w:eastAsia="zh-CN"/>
        </w:rPr>
        <w:t>95.71</w:t>
      </w:r>
      <w:r>
        <w:rPr>
          <w:rFonts w:hint="eastAsia" w:ascii="仿宋" w:hAnsi="仿宋" w:eastAsia="仿宋" w:cs="仿宋"/>
          <w:color w:val="000000"/>
          <w:sz w:val="32"/>
          <w:szCs w:val="32"/>
          <w:highlight w:val="none"/>
          <w:shd w:val="clear" w:color="auto" w:fill="FFFFFF"/>
        </w:rPr>
        <w:t>万元</w:t>
      </w:r>
      <w:r>
        <w:rPr>
          <w:rFonts w:hint="eastAsia" w:ascii="仿宋" w:hAnsi="仿宋" w:eastAsia="仿宋" w:cs="仿宋"/>
          <w:color w:val="000000"/>
          <w:sz w:val="32"/>
          <w:szCs w:val="32"/>
          <w:shd w:val="clear" w:color="auto" w:fill="FFFFFF"/>
        </w:rPr>
        <w:t>。中心严格执行中央八项规定和财务管理制度，根据年初预算，除优先安排人员基本经费支出外，合理安排日常公用经费及项目经费，做到厉行节约、精打细算，把有限的资金用到刀刃上，保证中心各项工作的正常运转。</w:t>
      </w:r>
    </w:p>
    <w:bookmarkEnd w:id="26"/>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sz w:val="72"/>
          <w:szCs w:val="72"/>
        </w:rPr>
      </w:pPr>
      <w:r>
        <w:rPr>
          <w:rFonts w:hint="eastAsia" w:ascii="仿宋" w:hAnsi="仿宋" w:eastAsia="仿宋" w:cs="仿宋"/>
          <w:color w:val="000000"/>
          <w:sz w:val="32"/>
          <w:szCs w:val="32"/>
          <w:shd w:val="clear" w:color="auto" w:fill="FFFFFF"/>
        </w:rPr>
        <w:t>详见附件《202</w:t>
      </w:r>
      <w:r>
        <w:rPr>
          <w:rFonts w:hint="eastAsia" w:ascii="仿宋" w:hAnsi="仿宋" w:eastAsia="仿宋" w:cs="仿宋"/>
          <w:color w:val="000000"/>
          <w:sz w:val="32"/>
          <w:szCs w:val="32"/>
          <w:shd w:val="clear" w:color="auto" w:fill="FFFFFF"/>
          <w:lang w:val="en-US" w:eastAsia="zh-CN"/>
        </w:rPr>
        <w:t>3</w:t>
      </w:r>
      <w:r>
        <w:rPr>
          <w:rFonts w:hint="eastAsia" w:ascii="仿宋" w:hAnsi="仿宋" w:eastAsia="仿宋" w:cs="仿宋"/>
          <w:color w:val="000000"/>
          <w:sz w:val="32"/>
          <w:szCs w:val="32"/>
          <w:shd w:val="clear" w:color="auto" w:fill="FFFFFF"/>
        </w:rPr>
        <w:t>年度湖南省</w:t>
      </w:r>
      <w:r>
        <w:rPr>
          <w:rFonts w:hint="eastAsia" w:ascii="仿宋" w:hAnsi="仿宋" w:eastAsia="仿宋" w:cs="仿宋"/>
          <w:color w:val="000000"/>
          <w:sz w:val="32"/>
          <w:szCs w:val="32"/>
          <w:shd w:val="clear" w:color="auto" w:fill="FFFFFF"/>
          <w:lang w:eastAsia="zh-CN"/>
        </w:rPr>
        <w:t>网络商品交易监测</w:t>
      </w:r>
      <w:r>
        <w:rPr>
          <w:rFonts w:hint="eastAsia" w:ascii="仿宋" w:hAnsi="仿宋" w:eastAsia="仿宋" w:cs="仿宋"/>
          <w:color w:val="000000"/>
          <w:sz w:val="32"/>
          <w:szCs w:val="32"/>
          <w:shd w:val="clear" w:color="auto" w:fill="FFFFFF"/>
        </w:rPr>
        <w:t>中心整体支出绩效自评报告》。</w:t>
      </w:r>
    </w:p>
    <w:p>
      <w:pPr>
        <w:pStyle w:val="15"/>
        <w:jc w:val="center"/>
        <w:rPr>
          <w:sz w:val="72"/>
          <w:szCs w:val="72"/>
        </w:rPr>
      </w:pPr>
    </w:p>
    <w:p>
      <w:pPr>
        <w:pStyle w:val="15"/>
        <w:jc w:val="center"/>
        <w:rPr>
          <w:sz w:val="72"/>
          <w:szCs w:val="72"/>
        </w:rPr>
      </w:pPr>
    </w:p>
    <w:p>
      <w:pPr>
        <w:pStyle w:val="15"/>
        <w:jc w:val="both"/>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both"/>
        <w:rPr>
          <w:rFonts w:hint="eastAsia" w:ascii="方正小标宋_GBK" w:hAnsi="方正小标宋_GBK" w:eastAsia="方正小标宋_GBK" w:cs="方正小标宋_GBK"/>
          <w:sz w:val="72"/>
          <w:szCs w:val="72"/>
        </w:rPr>
      </w:pPr>
    </w:p>
    <w:p>
      <w:pPr>
        <w:pStyle w:val="15"/>
        <w:jc w:val="both"/>
        <w:rPr>
          <w:rFonts w:hint="eastAsia" w:ascii="方正小标宋_GBK" w:hAnsi="方正小标宋_GBK" w:eastAsia="方正小标宋_GBK" w:cs="方正小标宋_GBK"/>
          <w:sz w:val="72"/>
          <w:szCs w:val="72"/>
        </w:rPr>
      </w:pPr>
    </w:p>
    <w:p>
      <w:pPr>
        <w:pStyle w:val="15"/>
        <w:jc w:val="both"/>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pPr>
        <w:widowControl/>
        <w:spacing w:line="600" w:lineRule="exact"/>
        <w:ind w:firstLine="643" w:firstLineChars="200"/>
        <w:jc w:val="left"/>
        <w:rPr>
          <w:rFonts w:eastAsia="仿宋_GB2312"/>
          <w:kern w:val="0"/>
          <w:sz w:val="32"/>
          <w:szCs w:val="32"/>
        </w:rPr>
      </w:pPr>
      <w:r>
        <w:rPr>
          <w:rFonts w:hint="eastAsia" w:ascii="仿宋" w:hAnsi="仿宋" w:eastAsia="仿宋" w:cs="Times New Roman"/>
          <w:b/>
          <w:bCs/>
          <w:color w:val="000000"/>
          <w:kern w:val="0"/>
          <w:sz w:val="32"/>
          <w:szCs w:val="32"/>
        </w:rPr>
        <w:t>（一）一般公共预算财政拨款：</w:t>
      </w:r>
      <w:r>
        <w:rPr>
          <w:rFonts w:hint="eastAsia" w:ascii="仿宋" w:hAnsi="仿宋" w:eastAsia="仿宋" w:cs="Times New Roman"/>
          <w:color w:val="000000"/>
          <w:kern w:val="0"/>
          <w:sz w:val="32"/>
          <w:szCs w:val="32"/>
        </w:rPr>
        <w:t>本级财政部门当年拨付的财政预算资金。</w:t>
      </w:r>
    </w:p>
    <w:p>
      <w:pPr>
        <w:widowControl/>
        <w:spacing w:line="600" w:lineRule="exact"/>
        <w:ind w:firstLine="643" w:firstLineChars="200"/>
        <w:jc w:val="left"/>
        <w:rPr>
          <w:rFonts w:eastAsia="仿宋_GB2312"/>
          <w:kern w:val="0"/>
          <w:sz w:val="32"/>
          <w:szCs w:val="32"/>
        </w:rPr>
      </w:pPr>
      <w:r>
        <w:rPr>
          <w:rFonts w:hint="eastAsia" w:ascii="仿宋" w:hAnsi="仿宋" w:eastAsia="仿宋" w:cs="Times New Roman"/>
          <w:b/>
          <w:bCs/>
          <w:color w:val="000000"/>
          <w:kern w:val="0"/>
          <w:sz w:val="32"/>
          <w:szCs w:val="32"/>
        </w:rPr>
        <w:t>（二）其他收入：</w:t>
      </w:r>
      <w:r>
        <w:rPr>
          <w:rFonts w:hint="eastAsia" w:ascii="仿宋" w:hAnsi="仿宋" w:eastAsia="仿宋" w:cs="Times New Roman"/>
          <w:color w:val="000000"/>
          <w:kern w:val="0"/>
          <w:sz w:val="32"/>
          <w:szCs w:val="32"/>
        </w:rPr>
        <w:t>预算单位在“财政拨款、事业收入、经营收入、上级补助收入、附属单位缴款收入”等之外取得的各项收入。</w:t>
      </w:r>
    </w:p>
    <w:p>
      <w:pPr>
        <w:widowControl/>
        <w:spacing w:line="600" w:lineRule="exact"/>
        <w:ind w:firstLine="643" w:firstLineChars="200"/>
        <w:jc w:val="left"/>
        <w:rPr>
          <w:rFonts w:eastAsia="仿宋_GB2312"/>
          <w:kern w:val="0"/>
          <w:sz w:val="32"/>
          <w:szCs w:val="32"/>
        </w:rPr>
      </w:pPr>
      <w:r>
        <w:rPr>
          <w:rFonts w:hint="eastAsia" w:ascii="仿宋" w:hAnsi="仿宋" w:eastAsia="仿宋" w:cs="Times New Roman"/>
          <w:b/>
          <w:bCs/>
          <w:color w:val="000000"/>
          <w:kern w:val="0"/>
          <w:sz w:val="32"/>
          <w:szCs w:val="32"/>
        </w:rPr>
        <w:t>（三）基本支出：</w:t>
      </w:r>
      <w:r>
        <w:rPr>
          <w:rFonts w:hint="eastAsia" w:eastAsia="仿宋_GB2312"/>
          <w:kern w:val="0"/>
          <w:sz w:val="32"/>
          <w:szCs w:val="32"/>
        </w:rPr>
        <w:t>是预算</w:t>
      </w:r>
      <w:r>
        <w:rPr>
          <w:rFonts w:hint="eastAsia" w:ascii="仿宋" w:hAnsi="仿宋" w:eastAsia="仿宋" w:cs="Times New Roman"/>
          <w:color w:val="000000"/>
          <w:kern w:val="0"/>
          <w:sz w:val="32"/>
          <w:szCs w:val="32"/>
        </w:rPr>
        <w:t>单位为保障其正常运转，完成日常工作任务所发生的支出，包括人员支出和日常公用支出。</w:t>
      </w:r>
    </w:p>
    <w:p>
      <w:pPr>
        <w:widowControl/>
        <w:spacing w:line="600" w:lineRule="exact"/>
        <w:ind w:firstLine="643" w:firstLineChars="200"/>
        <w:jc w:val="left"/>
        <w:rPr>
          <w:rFonts w:eastAsia="仿宋_GB2312"/>
          <w:kern w:val="0"/>
          <w:sz w:val="32"/>
          <w:szCs w:val="32"/>
        </w:rPr>
      </w:pPr>
      <w:r>
        <w:rPr>
          <w:rFonts w:hint="eastAsia" w:ascii="仿宋" w:hAnsi="仿宋" w:eastAsia="仿宋" w:cs="Times New Roman"/>
          <w:b/>
          <w:bCs/>
          <w:color w:val="000000"/>
          <w:kern w:val="0"/>
          <w:sz w:val="32"/>
          <w:szCs w:val="32"/>
        </w:rPr>
        <w:t>（四）项目支出：</w:t>
      </w:r>
      <w:r>
        <w:rPr>
          <w:rFonts w:hint="eastAsia" w:eastAsia="仿宋_GB2312"/>
          <w:kern w:val="0"/>
          <w:sz w:val="32"/>
          <w:szCs w:val="32"/>
        </w:rPr>
        <w:t>是预算单位为完成其特定的行政工作任务或事业发展目标所发生的支出。</w:t>
      </w:r>
    </w:p>
    <w:p>
      <w:pPr>
        <w:widowControl/>
        <w:spacing w:line="600" w:lineRule="exact"/>
        <w:ind w:firstLine="643" w:firstLineChars="200"/>
        <w:jc w:val="left"/>
        <w:rPr>
          <w:rFonts w:eastAsia="仿宋_GB2312"/>
          <w:kern w:val="0"/>
          <w:sz w:val="32"/>
          <w:szCs w:val="32"/>
        </w:rPr>
      </w:pPr>
      <w:r>
        <w:rPr>
          <w:rFonts w:hint="eastAsia" w:ascii="仿宋" w:hAnsi="仿宋" w:eastAsia="仿宋" w:cs="Times New Roman"/>
          <w:b/>
          <w:bCs/>
          <w:color w:val="000000"/>
          <w:kern w:val="0"/>
          <w:sz w:val="32"/>
          <w:szCs w:val="32"/>
        </w:rPr>
        <w:t>（五）三公经费：</w:t>
      </w:r>
      <w:r>
        <w:rPr>
          <w:rFonts w:hint="eastAsia" w:eastAsia="仿宋_GB2312"/>
          <w:kern w:val="0"/>
          <w:sz w:val="32"/>
          <w:szCs w:val="32"/>
        </w:rPr>
        <w:t>政府</w:t>
      </w:r>
      <w:r>
        <w:rPr>
          <w:rFonts w:hint="eastAsia" w:eastAsia="仿宋_GB2312"/>
          <w:kern w:val="0"/>
          <w:sz w:val="32"/>
          <w:szCs w:val="32"/>
          <w:lang w:eastAsia="zh-CN"/>
        </w:rPr>
        <w:t>单位</w:t>
      </w:r>
      <w:r>
        <w:rPr>
          <w:rFonts w:hint="eastAsia" w:eastAsia="仿宋_GB2312"/>
          <w:kern w:val="0"/>
          <w:sz w:val="32"/>
          <w:szCs w:val="32"/>
        </w:rPr>
        <w:t>用于财政拨款经费安排的因公出国（境）费用、公务用车购置及运行维护费用、公务接待费用。其中因公出国（境）费用反映单位公务出国（境）的住宿费、差旅费、伙食补助费、培训费等支出；公务用车购置及运行维护费用反映单位公务用车购置及维修费、燃料费、过路过桥费、保险费等支出；公务接待费反映单位按规定开支的各类公务接待（含外宾接待）支出。</w:t>
      </w:r>
    </w:p>
    <w:p>
      <w:pPr>
        <w:widowControl/>
        <w:spacing w:line="600" w:lineRule="exact"/>
        <w:ind w:firstLine="643" w:firstLineChars="200"/>
        <w:jc w:val="left"/>
        <w:rPr>
          <w:rFonts w:eastAsia="仿宋_GB2312"/>
          <w:kern w:val="0"/>
          <w:sz w:val="32"/>
          <w:szCs w:val="32"/>
        </w:rPr>
      </w:pPr>
      <w:r>
        <w:rPr>
          <w:rFonts w:hint="eastAsia" w:ascii="仿宋" w:hAnsi="仿宋" w:eastAsia="仿宋" w:cs="Times New Roman"/>
          <w:b/>
          <w:bCs/>
          <w:color w:val="000000"/>
          <w:kern w:val="0"/>
          <w:sz w:val="32"/>
          <w:szCs w:val="32"/>
        </w:rPr>
        <w:t>（六）机关运行经费：</w:t>
      </w:r>
      <w:r>
        <w:rPr>
          <w:rFonts w:hint="eastAsia" w:eastAsia="仿宋_GB2312"/>
          <w:kern w:val="0"/>
          <w:sz w:val="32"/>
          <w:szCs w:val="32"/>
        </w:rPr>
        <w:t>反映行政单位和参照公务员法管理事业单位履行一般行政管理职能、维持机关日常运转所必须的，用公共预算财政拨款开支的费用，包括办公及印刷费、水电费、邮电费、取暖费、交通费、差旅费、会议费、福利费、物业管理费、日常维修费、专用材料费、一般购置费等费用。</w:t>
      </w:r>
    </w:p>
    <w:p>
      <w:pPr>
        <w:pStyle w:val="15"/>
        <w:jc w:val="center"/>
        <w:rPr>
          <w:sz w:val="72"/>
          <w:szCs w:val="72"/>
        </w:rPr>
      </w:pPr>
    </w:p>
    <w:p>
      <w:pPr>
        <w:pStyle w:val="15"/>
        <w:jc w:val="center"/>
        <w:rPr>
          <w:sz w:val="72"/>
          <w:szCs w:val="72"/>
        </w:rPr>
      </w:pPr>
    </w:p>
    <w:p>
      <w:pPr>
        <w:pStyle w:val="15"/>
        <w:jc w:val="center"/>
        <w:rPr>
          <w:sz w:val="72"/>
          <w:szCs w:val="72"/>
        </w:rPr>
      </w:pPr>
    </w:p>
    <w:p>
      <w:pPr>
        <w:pStyle w:val="15"/>
        <w:jc w:val="both"/>
        <w:rPr>
          <w:rFonts w:hint="eastAsia" w:ascii="方正小标宋_GBK" w:hAnsi="方正小标宋_GBK" w:eastAsia="方正小标宋_GBK" w:cs="方正小标宋_GBK"/>
          <w:sz w:val="72"/>
          <w:szCs w:val="72"/>
        </w:rPr>
      </w:pPr>
    </w:p>
    <w:p>
      <w:pPr>
        <w:pStyle w:val="15"/>
        <w:jc w:val="both"/>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5"/>
        <w:jc w:val="center"/>
        <w:rPr>
          <w:rFonts w:hint="eastAsia" w:ascii="方正小标宋_GBK" w:hAnsi="方正小标宋_GBK" w:eastAsia="方正小标宋_GBK" w:cs="方正小标宋_GBK"/>
          <w:sz w:val="70"/>
          <w:szCs w:val="70"/>
        </w:rPr>
      </w:pPr>
    </w:p>
    <w:p>
      <w:pPr>
        <w:pStyle w:val="15"/>
        <w:jc w:val="center"/>
        <w:rPr>
          <w:rFonts w:hint="eastAsia" w:eastAsia="黑体"/>
          <w:sz w:val="72"/>
          <w:szCs w:val="72"/>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rPr>
          <w:sz w:val="72"/>
          <w:szCs w:val="72"/>
        </w:rPr>
      </w:pPr>
      <w:r>
        <w:rPr>
          <w:sz w:val="72"/>
          <w:szCs w:val="72"/>
        </w:rPr>
        <w:br w:type="page"/>
      </w:r>
    </w:p>
    <w:p>
      <w:pPr>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w:t>
      </w:r>
      <w:r>
        <w:rPr>
          <w:rFonts w:hint="eastAsia" w:ascii="Times New Roman" w:hAnsi="Times New Roman" w:eastAsia="方正小标宋_GBK" w:cs="Times New Roman"/>
          <w:sz w:val="52"/>
          <w:szCs w:val="52"/>
          <w:lang w:val="en-US" w:eastAsia="zh-CN"/>
        </w:rPr>
        <w:t>3</w:t>
      </w:r>
      <w:r>
        <w:rPr>
          <w:rFonts w:ascii="Times New Roman" w:hAnsi="Times New Roman" w:eastAsia="方正小标宋_GBK" w:cs="Times New Roman"/>
          <w:sz w:val="52"/>
          <w:szCs w:val="52"/>
        </w:rPr>
        <w:t>年度</w:t>
      </w:r>
      <w:r>
        <w:rPr>
          <w:rFonts w:hint="eastAsia" w:ascii="Times New Roman" w:hAnsi="Times New Roman" w:eastAsia="方正小标宋_GBK" w:cs="Times New Roman"/>
          <w:sz w:val="52"/>
          <w:szCs w:val="52"/>
          <w:lang w:eastAsia="zh-CN"/>
        </w:rPr>
        <w:t>湖南省网络商品交易监测中心</w:t>
      </w:r>
      <w:r>
        <w:rPr>
          <w:rFonts w:ascii="Times New Roman" w:hAnsi="Times New Roman" w:eastAsia="方正小标宋_GBK" w:cs="Times New Roman"/>
          <w:sz w:val="52"/>
          <w:szCs w:val="52"/>
        </w:rPr>
        <w:t>整体支出绩效自评报告</w:t>
      </w:r>
    </w:p>
    <w:p>
      <w:pPr>
        <w:rPr>
          <w:rFonts w:ascii="Times New Roman" w:hAnsi="Times New Roman" w:eastAsia="仿宋_GB2312" w:cs="Times New Roman"/>
          <w:sz w:val="32"/>
          <w:szCs w:val="32"/>
        </w:rPr>
      </w:pPr>
    </w:p>
    <w:p>
      <w:pPr>
        <w:keepNext w:val="0"/>
        <w:keepLines w:val="0"/>
        <w:pageBreakBefore w:val="0"/>
        <w:numPr>
          <w:ilvl w:val="0"/>
          <w:numId w:val="0"/>
        </w:numPr>
        <w:wordWrap/>
        <w:overflowPunct/>
        <w:topLinePunct w:val="0"/>
        <w:bidi w:val="0"/>
        <w:adjustRightInd w:val="0"/>
        <w:snapToGrid w:val="0"/>
        <w:spacing w:line="560" w:lineRule="exact"/>
        <w:ind w:right="0" w:rightChars="0"/>
        <w:jc w:val="both"/>
        <w:rPr>
          <w:rFonts w:hint="eastAsia" w:ascii="仿宋" w:hAnsi="仿宋" w:eastAsia="仿宋" w:cs="仿宋"/>
          <w:b/>
          <w:bCs/>
          <w:sz w:val="32"/>
          <w:szCs w:val="32"/>
        </w:rPr>
      </w:pPr>
      <w:r>
        <w:rPr>
          <w:rFonts w:hint="eastAsia" w:ascii="仿宋" w:hAnsi="仿宋" w:eastAsia="仿宋" w:cs="仿宋"/>
          <w:b/>
          <w:bCs/>
          <w:sz w:val="32"/>
          <w:szCs w:val="32"/>
          <w:lang w:eastAsia="zh-CN"/>
        </w:rPr>
        <w:t>一、</w:t>
      </w:r>
      <w:r>
        <w:rPr>
          <w:rFonts w:hint="eastAsia" w:ascii="仿宋" w:hAnsi="仿宋" w:eastAsia="仿宋" w:cs="仿宋"/>
          <w:b/>
          <w:bCs/>
          <w:sz w:val="32"/>
          <w:szCs w:val="32"/>
        </w:rPr>
        <w:t>单位基本情况</w:t>
      </w:r>
    </w:p>
    <w:p>
      <w:pPr>
        <w:keepNext w:val="0"/>
        <w:keepLines w:val="0"/>
        <w:pageBreakBefore w:val="0"/>
        <w:wordWrap/>
        <w:overflowPunct/>
        <w:topLinePunct w:val="0"/>
        <w:bidi w:val="0"/>
        <w:adjustRightInd w:val="0"/>
        <w:snapToGrid w:val="0"/>
        <w:spacing w:line="560" w:lineRule="exact"/>
        <w:ind w:right="0" w:righ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1．主要职能。</w:t>
      </w:r>
    </w:p>
    <w:p>
      <w:pPr>
        <w:keepNext w:val="0"/>
        <w:keepLines w:val="0"/>
        <w:pageBreakBefore w:val="0"/>
        <w:widowControl w:val="0"/>
        <w:numPr>
          <w:ilvl w:val="0"/>
          <w:numId w:val="2"/>
        </w:numPr>
        <w:tabs>
          <w:tab w:val="left" w:pos="1260"/>
          <w:tab w:val="left" w:pos="1980"/>
        </w:tabs>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0"/>
        <w:rPr>
          <w:rFonts w:hint="eastAsia" w:ascii="仿宋" w:hAnsi="仿宋" w:eastAsia="仿宋" w:cs="仿宋"/>
          <w:sz w:val="32"/>
          <w:szCs w:val="32"/>
        </w:rPr>
      </w:pPr>
      <w:r>
        <w:rPr>
          <w:rFonts w:hint="eastAsia" w:ascii="仿宋" w:hAnsi="仿宋" w:eastAsia="仿宋" w:cs="仿宋"/>
          <w:sz w:val="32"/>
          <w:szCs w:val="32"/>
        </w:rPr>
        <w:t>承担网络交易监测、广告监测相关事务性工作。</w:t>
      </w:r>
    </w:p>
    <w:p>
      <w:pPr>
        <w:keepNext w:val="0"/>
        <w:keepLines w:val="0"/>
        <w:pageBreakBefore w:val="0"/>
        <w:widowControl w:val="0"/>
        <w:numPr>
          <w:ilvl w:val="0"/>
          <w:numId w:val="2"/>
        </w:numPr>
        <w:tabs>
          <w:tab w:val="left" w:pos="1260"/>
          <w:tab w:val="left" w:pos="1980"/>
        </w:tabs>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0"/>
        <w:rPr>
          <w:rFonts w:hint="eastAsia" w:ascii="仿宋" w:hAnsi="仿宋" w:eastAsia="仿宋" w:cs="仿宋"/>
          <w:sz w:val="32"/>
          <w:szCs w:val="32"/>
        </w:rPr>
      </w:pPr>
      <w:r>
        <w:rPr>
          <w:rFonts w:hint="eastAsia" w:ascii="仿宋" w:hAnsi="仿宋" w:eastAsia="仿宋" w:cs="仿宋"/>
          <w:sz w:val="32"/>
          <w:szCs w:val="32"/>
        </w:rPr>
        <w:t>开展网络交易、广告违法线索电子取证和固证工作。</w:t>
      </w:r>
    </w:p>
    <w:p>
      <w:pPr>
        <w:keepNext w:val="0"/>
        <w:keepLines w:val="0"/>
        <w:pageBreakBefore w:val="0"/>
        <w:widowControl w:val="0"/>
        <w:numPr>
          <w:ilvl w:val="0"/>
          <w:numId w:val="2"/>
        </w:numPr>
        <w:tabs>
          <w:tab w:val="left" w:pos="1260"/>
          <w:tab w:val="left" w:pos="1980"/>
        </w:tabs>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0"/>
        <w:rPr>
          <w:rFonts w:hint="eastAsia" w:ascii="仿宋" w:hAnsi="仿宋" w:eastAsia="仿宋" w:cs="仿宋"/>
          <w:sz w:val="32"/>
          <w:szCs w:val="32"/>
        </w:rPr>
      </w:pPr>
      <w:r>
        <w:rPr>
          <w:rFonts w:hint="eastAsia" w:ascii="仿宋" w:hAnsi="仿宋" w:eastAsia="仿宋" w:cs="仿宋"/>
          <w:sz w:val="32"/>
          <w:szCs w:val="32"/>
        </w:rPr>
        <w:t>协助指导督促网络交易平台经营者落实主体责任；协助指导参与全省网络交易监测、广告监测平台的规划、建设及管理；协助网络交易、广告</w:t>
      </w:r>
      <w:r>
        <w:rPr>
          <w:rFonts w:hint="eastAsia" w:ascii="仿宋" w:hAnsi="仿宋" w:eastAsia="仿宋" w:cs="仿宋"/>
          <w:sz w:val="32"/>
          <w:szCs w:val="32"/>
          <w:lang w:eastAsia="zh-CN"/>
        </w:rPr>
        <w:t>经营</w:t>
      </w:r>
      <w:r>
        <w:rPr>
          <w:rFonts w:hint="eastAsia" w:ascii="仿宋" w:hAnsi="仿宋" w:eastAsia="仿宋" w:cs="仿宋"/>
          <w:sz w:val="32"/>
          <w:szCs w:val="32"/>
        </w:rPr>
        <w:t>者信用监管相关事务性工作。</w:t>
      </w:r>
    </w:p>
    <w:p>
      <w:pPr>
        <w:keepNext w:val="0"/>
        <w:keepLines w:val="0"/>
        <w:pageBreakBefore w:val="0"/>
        <w:widowControl w:val="0"/>
        <w:numPr>
          <w:ilvl w:val="0"/>
          <w:numId w:val="2"/>
        </w:numPr>
        <w:tabs>
          <w:tab w:val="left" w:pos="1260"/>
          <w:tab w:val="left" w:pos="1980"/>
        </w:tabs>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0"/>
        <w:rPr>
          <w:rFonts w:hint="eastAsia" w:ascii="仿宋" w:hAnsi="仿宋" w:eastAsia="仿宋" w:cs="仿宋"/>
          <w:sz w:val="32"/>
          <w:szCs w:val="32"/>
        </w:rPr>
      </w:pPr>
      <w:r>
        <w:rPr>
          <w:rFonts w:hint="eastAsia" w:ascii="仿宋" w:hAnsi="仿宋" w:eastAsia="仿宋" w:cs="仿宋"/>
          <w:sz w:val="32"/>
          <w:szCs w:val="32"/>
        </w:rPr>
        <w:t>开展网络交易监测、广告监测学术研究和交流合作。</w:t>
      </w:r>
    </w:p>
    <w:p>
      <w:pPr>
        <w:keepNext w:val="0"/>
        <w:keepLines w:val="0"/>
        <w:pageBreakBefore w:val="0"/>
        <w:widowControl w:val="0"/>
        <w:numPr>
          <w:ilvl w:val="0"/>
          <w:numId w:val="2"/>
        </w:numPr>
        <w:tabs>
          <w:tab w:val="left" w:pos="1260"/>
          <w:tab w:val="left" w:pos="1980"/>
        </w:tabs>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0"/>
        <w:rPr>
          <w:rFonts w:hint="eastAsia" w:ascii="仿宋" w:hAnsi="仿宋" w:eastAsia="仿宋" w:cs="仿宋"/>
          <w:sz w:val="32"/>
          <w:szCs w:val="32"/>
        </w:rPr>
      </w:pPr>
      <w:r>
        <w:rPr>
          <w:rFonts w:hint="eastAsia" w:ascii="仿宋" w:hAnsi="仿宋" w:eastAsia="仿宋" w:cs="仿宋"/>
          <w:sz w:val="32"/>
          <w:szCs w:val="32"/>
        </w:rPr>
        <w:t>完成省市场监督管理局交办的其他任务。</w:t>
      </w:r>
    </w:p>
    <w:p>
      <w:pPr>
        <w:keepNext w:val="0"/>
        <w:keepLines w:val="0"/>
        <w:pageBreakBefore w:val="0"/>
        <w:numPr>
          <w:ilvl w:val="0"/>
          <w:numId w:val="3"/>
        </w:numPr>
        <w:wordWrap/>
        <w:overflowPunct/>
        <w:topLinePunct w:val="0"/>
        <w:bidi w:val="0"/>
        <w:adjustRightInd w:val="0"/>
        <w:snapToGrid w:val="0"/>
        <w:spacing w:line="560" w:lineRule="exact"/>
        <w:ind w:right="0" w:righ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机构情况</w:t>
      </w:r>
    </w:p>
    <w:p>
      <w:pPr>
        <w:keepNext w:val="0"/>
        <w:keepLines w:val="0"/>
        <w:pageBreakBefore w:val="0"/>
        <w:numPr>
          <w:ilvl w:val="0"/>
          <w:numId w:val="0"/>
        </w:numPr>
        <w:wordWrap/>
        <w:overflowPunct/>
        <w:topLinePunct w:val="0"/>
        <w:bidi w:val="0"/>
        <w:adjustRightInd w:val="0"/>
        <w:snapToGrid w:val="0"/>
        <w:spacing w:line="560" w:lineRule="exact"/>
        <w:ind w:right="0" w:rightChars="0" w:firstLine="640" w:firstLineChars="200"/>
        <w:jc w:val="both"/>
        <w:rPr>
          <w:rFonts w:hint="eastAsia" w:ascii="仿宋" w:hAnsi="仿宋" w:eastAsia="仿宋" w:cs="仿宋"/>
          <w:sz w:val="32"/>
          <w:szCs w:val="32"/>
          <w:highlight w:val="none"/>
          <w:shd w:val="clear" w:color="auto" w:fill="auto"/>
          <w:lang w:val="en-US" w:eastAsia="zh-CN"/>
        </w:rPr>
      </w:pPr>
      <w:r>
        <w:rPr>
          <w:rFonts w:hint="eastAsia" w:ascii="仿宋" w:hAnsi="仿宋" w:eastAsia="仿宋" w:cs="仿宋"/>
          <w:sz w:val="32"/>
          <w:szCs w:val="32"/>
          <w:highlight w:val="none"/>
          <w:shd w:val="clear" w:color="auto" w:fill="auto"/>
          <w:lang w:val="en-US" w:eastAsia="zh-CN"/>
        </w:rPr>
        <w:t>内设机构（2个）：综合部、网络交易及广告监测部。</w:t>
      </w:r>
    </w:p>
    <w:p>
      <w:pPr>
        <w:keepNext w:val="0"/>
        <w:keepLines w:val="0"/>
        <w:pageBreakBefore w:val="0"/>
        <w:numPr>
          <w:ilvl w:val="0"/>
          <w:numId w:val="0"/>
        </w:numPr>
        <w:wordWrap/>
        <w:overflowPunct/>
        <w:topLinePunct w:val="0"/>
        <w:bidi w:val="0"/>
        <w:adjustRightInd w:val="0"/>
        <w:snapToGrid w:val="0"/>
        <w:spacing w:line="560" w:lineRule="exact"/>
        <w:ind w:right="0" w:rightChars="0" w:firstLine="640" w:firstLineChars="200"/>
        <w:jc w:val="both"/>
        <w:rPr>
          <w:rFonts w:hint="eastAsia" w:ascii="仿宋" w:hAnsi="仿宋" w:eastAsia="仿宋" w:cs="仿宋"/>
          <w:sz w:val="32"/>
          <w:szCs w:val="32"/>
          <w:highlight w:val="none"/>
          <w:shd w:val="clear" w:color="auto" w:fill="auto"/>
        </w:rPr>
      </w:pPr>
      <w:r>
        <w:rPr>
          <w:rFonts w:hint="eastAsia" w:ascii="仿宋" w:hAnsi="仿宋" w:eastAsia="仿宋" w:cs="仿宋"/>
          <w:sz w:val="32"/>
          <w:szCs w:val="32"/>
          <w:highlight w:val="none"/>
          <w:shd w:val="clear" w:color="auto" w:fill="auto"/>
          <w:lang w:val="en-US" w:eastAsia="zh-CN"/>
        </w:rPr>
        <w:t>3.</w:t>
      </w:r>
      <w:r>
        <w:rPr>
          <w:rFonts w:hint="eastAsia" w:ascii="仿宋" w:hAnsi="仿宋" w:eastAsia="仿宋" w:cs="仿宋"/>
          <w:sz w:val="32"/>
          <w:szCs w:val="32"/>
          <w:highlight w:val="none"/>
          <w:shd w:val="clear" w:color="auto" w:fill="auto"/>
        </w:rPr>
        <w:t>人员情况</w:t>
      </w:r>
    </w:p>
    <w:p>
      <w:pPr>
        <w:keepNext w:val="0"/>
        <w:keepLines w:val="0"/>
        <w:pageBreakBefore w:val="0"/>
        <w:wordWrap/>
        <w:overflowPunct/>
        <w:topLinePunct w:val="0"/>
        <w:bidi w:val="0"/>
        <w:adjustRightInd w:val="0"/>
        <w:snapToGrid w:val="0"/>
        <w:spacing w:line="560" w:lineRule="exact"/>
        <w:ind w:right="0" w:righ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本</w:t>
      </w:r>
      <w:r>
        <w:rPr>
          <w:rFonts w:hint="eastAsia" w:ascii="仿宋" w:hAnsi="仿宋" w:eastAsia="仿宋" w:cs="仿宋"/>
          <w:sz w:val="32"/>
          <w:szCs w:val="32"/>
          <w:lang w:eastAsia="zh-CN"/>
        </w:rPr>
        <w:t>单位人员</w:t>
      </w:r>
      <w:r>
        <w:rPr>
          <w:rFonts w:hint="eastAsia" w:ascii="仿宋" w:hAnsi="仿宋" w:eastAsia="仿宋" w:cs="仿宋"/>
          <w:sz w:val="32"/>
          <w:szCs w:val="32"/>
        </w:rPr>
        <w:t>编制数</w:t>
      </w:r>
      <w:r>
        <w:rPr>
          <w:rFonts w:hint="eastAsia" w:ascii="仿宋" w:hAnsi="仿宋" w:eastAsia="仿宋" w:cs="仿宋"/>
          <w:sz w:val="32"/>
          <w:szCs w:val="32"/>
          <w:lang w:val="en-US" w:eastAsia="zh-CN"/>
        </w:rPr>
        <w:t>17</w:t>
      </w:r>
      <w:r>
        <w:rPr>
          <w:rFonts w:hint="eastAsia" w:ascii="仿宋" w:hAnsi="仿宋" w:eastAsia="仿宋" w:cs="仿宋"/>
          <w:sz w:val="32"/>
          <w:szCs w:val="32"/>
        </w:rPr>
        <w:t>人,</w:t>
      </w:r>
      <w:r>
        <w:rPr>
          <w:rFonts w:hint="eastAsia" w:ascii="仿宋" w:hAnsi="仿宋" w:eastAsia="仿宋" w:cs="仿宋"/>
          <w:sz w:val="32"/>
          <w:szCs w:val="32"/>
          <w:lang w:eastAsia="zh-CN"/>
        </w:rPr>
        <w:t>实有</w:t>
      </w:r>
      <w:r>
        <w:rPr>
          <w:rFonts w:hint="eastAsia" w:ascii="仿宋" w:hAnsi="仿宋" w:eastAsia="仿宋" w:cs="仿宋"/>
          <w:sz w:val="32"/>
          <w:szCs w:val="32"/>
        </w:rPr>
        <w:t>在职</w:t>
      </w:r>
      <w:r>
        <w:rPr>
          <w:rFonts w:hint="eastAsia" w:ascii="仿宋" w:hAnsi="仿宋" w:eastAsia="仿宋" w:cs="仿宋"/>
          <w:sz w:val="32"/>
          <w:szCs w:val="32"/>
          <w:lang w:eastAsia="zh-CN"/>
        </w:rPr>
        <w:t>在岗</w:t>
      </w:r>
      <w:r>
        <w:rPr>
          <w:rFonts w:hint="eastAsia" w:ascii="仿宋" w:hAnsi="仿宋" w:eastAsia="仿宋" w:cs="仿宋"/>
          <w:sz w:val="32"/>
          <w:szCs w:val="32"/>
        </w:rPr>
        <w:t>人数</w:t>
      </w:r>
      <w:r>
        <w:rPr>
          <w:rFonts w:hint="eastAsia" w:ascii="仿宋" w:hAnsi="仿宋" w:eastAsia="仿宋" w:cs="仿宋"/>
          <w:sz w:val="32"/>
          <w:szCs w:val="32"/>
          <w:lang w:val="en-US" w:eastAsia="zh-CN"/>
        </w:rPr>
        <w:t>20</w:t>
      </w:r>
      <w:r>
        <w:rPr>
          <w:rFonts w:hint="eastAsia" w:ascii="仿宋" w:hAnsi="仿宋" w:eastAsia="仿宋" w:cs="仿宋"/>
          <w:sz w:val="32"/>
          <w:szCs w:val="32"/>
        </w:rPr>
        <w:t>人,</w:t>
      </w:r>
      <w:r>
        <w:rPr>
          <w:rFonts w:hint="eastAsia" w:ascii="仿宋" w:hAnsi="仿宋" w:eastAsia="仿宋" w:cs="仿宋"/>
          <w:sz w:val="32"/>
          <w:szCs w:val="32"/>
          <w:lang w:eastAsia="zh-CN"/>
        </w:rPr>
        <w:t>退休人员</w:t>
      </w:r>
      <w:r>
        <w:rPr>
          <w:rFonts w:hint="eastAsia" w:ascii="仿宋" w:hAnsi="仿宋" w:eastAsia="仿宋" w:cs="仿宋"/>
          <w:sz w:val="32"/>
          <w:szCs w:val="32"/>
          <w:lang w:val="en-US" w:eastAsia="zh-CN"/>
        </w:rPr>
        <w:t>29人，离休人员2人。</w:t>
      </w:r>
    </w:p>
    <w:p>
      <w:pPr>
        <w:keepNext w:val="0"/>
        <w:keepLines w:val="0"/>
        <w:pageBreakBefore w:val="0"/>
        <w:numPr>
          <w:ilvl w:val="0"/>
          <w:numId w:val="0"/>
        </w:numPr>
        <w:wordWrap/>
        <w:overflowPunct/>
        <w:topLinePunct w:val="0"/>
        <w:bidi w:val="0"/>
        <w:adjustRightInd w:val="0"/>
        <w:snapToGrid w:val="0"/>
        <w:spacing w:line="560" w:lineRule="exact"/>
        <w:ind w:right="0" w:rightChars="0"/>
        <w:jc w:val="both"/>
        <w:rPr>
          <w:rFonts w:hint="eastAsia" w:ascii="仿宋" w:hAnsi="仿宋" w:eastAsia="仿宋" w:cs="仿宋"/>
          <w:b/>
          <w:bCs/>
          <w:sz w:val="32"/>
          <w:szCs w:val="32"/>
        </w:rPr>
      </w:pPr>
      <w:r>
        <w:rPr>
          <w:rFonts w:hint="eastAsia" w:ascii="仿宋" w:hAnsi="仿宋" w:eastAsia="仿宋" w:cs="仿宋"/>
          <w:b/>
          <w:bCs/>
          <w:sz w:val="32"/>
          <w:szCs w:val="32"/>
          <w:lang w:eastAsia="zh-CN"/>
        </w:rPr>
        <w:t>二、</w:t>
      </w:r>
      <w:r>
        <w:rPr>
          <w:rFonts w:hint="eastAsia" w:ascii="仿宋" w:hAnsi="仿宋" w:eastAsia="仿宋" w:cs="仿宋"/>
          <w:b/>
          <w:bCs/>
          <w:sz w:val="32"/>
          <w:szCs w:val="32"/>
        </w:rPr>
        <w:t>一般公共预算支出情况</w:t>
      </w:r>
    </w:p>
    <w:p>
      <w:pPr>
        <w:pStyle w:val="16"/>
        <w:keepNext w:val="0"/>
        <w:keepLines w:val="0"/>
        <w:pageBreakBefore w:val="0"/>
        <w:wordWrap/>
        <w:overflowPunct/>
        <w:topLinePunct w:val="0"/>
        <w:bidi w:val="0"/>
        <w:adjustRightInd w:val="0"/>
        <w:snapToGrid w:val="0"/>
        <w:spacing w:line="560" w:lineRule="exact"/>
        <w:ind w:right="0" w:rightChars="0" w:firstLine="608" w:firstLineChars="190"/>
        <w:jc w:val="both"/>
        <w:rPr>
          <w:rFonts w:hint="eastAsia" w:ascii="仿宋" w:hAnsi="仿宋" w:eastAsia="仿宋" w:cs="仿宋"/>
          <w:sz w:val="32"/>
          <w:szCs w:val="32"/>
          <w:lang w:val="en-US"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年省财政对我中心批复预算控制数为</w:t>
      </w:r>
      <w:r>
        <w:rPr>
          <w:rFonts w:hint="eastAsia" w:ascii="仿宋" w:hAnsi="仿宋" w:eastAsia="仿宋" w:cs="仿宋"/>
          <w:sz w:val="32"/>
          <w:szCs w:val="32"/>
          <w:highlight w:val="none"/>
          <w:lang w:val="en-US" w:eastAsia="zh-CN"/>
        </w:rPr>
        <w:t>974.90</w:t>
      </w:r>
      <w:r>
        <w:rPr>
          <w:rFonts w:hint="eastAsia" w:ascii="仿宋" w:hAnsi="仿宋" w:eastAsia="仿宋" w:cs="仿宋"/>
          <w:sz w:val="32"/>
          <w:szCs w:val="32"/>
        </w:rPr>
        <w:t>万元，202</w:t>
      </w:r>
      <w:r>
        <w:rPr>
          <w:rFonts w:hint="eastAsia" w:ascii="仿宋" w:hAnsi="仿宋" w:eastAsia="仿宋" w:cs="仿宋"/>
          <w:sz w:val="32"/>
          <w:szCs w:val="32"/>
          <w:lang w:val="en-US" w:eastAsia="zh-CN"/>
        </w:rPr>
        <w:t>3</w:t>
      </w:r>
      <w:r>
        <w:rPr>
          <w:rFonts w:hint="eastAsia" w:ascii="仿宋" w:hAnsi="仿宋" w:eastAsia="仿宋" w:cs="仿宋"/>
          <w:sz w:val="32"/>
          <w:szCs w:val="32"/>
        </w:rPr>
        <w:t>年全年预算数为</w:t>
      </w:r>
      <w:r>
        <w:rPr>
          <w:rFonts w:hint="eastAsia" w:ascii="仿宋" w:hAnsi="仿宋" w:eastAsia="仿宋" w:cs="仿宋"/>
          <w:sz w:val="32"/>
          <w:szCs w:val="32"/>
          <w:lang w:val="en-US" w:eastAsia="zh-CN"/>
        </w:rPr>
        <w:t>1142.71</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highlight w:val="none"/>
        </w:rPr>
        <w:t>202</w:t>
      </w: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rPr>
        <w:t>年全年预算支出</w:t>
      </w:r>
      <w:r>
        <w:rPr>
          <w:rFonts w:hint="eastAsia" w:ascii="仿宋" w:hAnsi="仿宋" w:eastAsia="仿宋" w:cs="仿宋"/>
          <w:sz w:val="32"/>
          <w:szCs w:val="32"/>
          <w:highlight w:val="none"/>
          <w:lang w:val="en-US" w:eastAsia="zh-CN"/>
        </w:rPr>
        <w:t>721.63</w:t>
      </w:r>
      <w:r>
        <w:rPr>
          <w:rFonts w:hint="eastAsia" w:ascii="仿宋" w:hAnsi="仿宋" w:eastAsia="仿宋" w:cs="仿宋"/>
          <w:sz w:val="32"/>
          <w:szCs w:val="32"/>
          <w:highlight w:val="none"/>
        </w:rPr>
        <w:t>万</w:t>
      </w:r>
      <w:r>
        <w:rPr>
          <w:rFonts w:hint="eastAsia" w:ascii="仿宋" w:hAnsi="仿宋" w:eastAsia="仿宋" w:cs="仿宋"/>
          <w:sz w:val="32"/>
          <w:szCs w:val="32"/>
        </w:rPr>
        <w:t>元，整体预算执行率为</w:t>
      </w:r>
      <w:r>
        <w:rPr>
          <w:rFonts w:hint="eastAsia" w:ascii="仿宋" w:hAnsi="仿宋" w:eastAsia="仿宋" w:cs="仿宋"/>
          <w:sz w:val="32"/>
          <w:szCs w:val="32"/>
          <w:lang w:val="en-US" w:eastAsia="zh-CN"/>
        </w:rPr>
        <w:t>63.15</w:t>
      </w:r>
      <w:r>
        <w:rPr>
          <w:rFonts w:hint="eastAsia" w:ascii="仿宋" w:hAnsi="仿宋" w:eastAsia="仿宋" w:cs="仿宋"/>
          <w:sz w:val="32"/>
          <w:szCs w:val="32"/>
        </w:rPr>
        <w:t>%。</w:t>
      </w:r>
    </w:p>
    <w:p>
      <w:pPr>
        <w:keepNext w:val="0"/>
        <w:keepLines w:val="0"/>
        <w:pageBreakBefore w:val="0"/>
        <w:wordWrap/>
        <w:overflowPunct/>
        <w:topLinePunct w:val="0"/>
        <w:bidi w:val="0"/>
        <w:adjustRightInd w:val="0"/>
        <w:snapToGrid w:val="0"/>
        <w:spacing w:line="560" w:lineRule="exact"/>
        <w:ind w:right="0" w:righ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（一）基本支出情况</w:t>
      </w:r>
    </w:p>
    <w:p>
      <w:pPr>
        <w:keepNext w:val="0"/>
        <w:keepLines w:val="0"/>
        <w:pageBreakBefore w:val="0"/>
        <w:widowControl/>
        <w:wordWrap/>
        <w:overflowPunct/>
        <w:topLinePunct w:val="0"/>
        <w:bidi w:val="0"/>
        <w:adjustRightInd w:val="0"/>
        <w:snapToGrid w:val="0"/>
        <w:spacing w:line="560" w:lineRule="exact"/>
        <w:ind w:right="0" w:rightChars="0" w:firstLine="660"/>
        <w:jc w:val="both"/>
        <w:rPr>
          <w:rFonts w:hint="eastAsia" w:ascii="仿宋" w:hAnsi="仿宋" w:eastAsia="仿宋" w:cs="仿宋"/>
          <w:sz w:val="32"/>
          <w:szCs w:val="32"/>
        </w:rPr>
      </w:pPr>
      <w:r>
        <w:rPr>
          <w:rFonts w:hint="eastAsia" w:ascii="仿宋" w:hAnsi="仿宋" w:eastAsia="仿宋" w:cs="仿宋"/>
          <w:sz w:val="32"/>
          <w:szCs w:val="32"/>
        </w:rPr>
        <w:t>基本支出</w:t>
      </w:r>
      <w:r>
        <w:rPr>
          <w:rFonts w:hint="eastAsia" w:ascii="仿宋" w:hAnsi="仿宋" w:eastAsia="仿宋" w:cs="仿宋"/>
          <w:sz w:val="32"/>
          <w:szCs w:val="32"/>
          <w:lang w:eastAsia="zh-CN"/>
        </w:rPr>
        <w:t>全年预算</w:t>
      </w:r>
      <w:r>
        <w:rPr>
          <w:rFonts w:hint="eastAsia" w:ascii="仿宋" w:hAnsi="仿宋" w:eastAsia="仿宋" w:cs="仿宋"/>
          <w:sz w:val="32"/>
          <w:szCs w:val="32"/>
        </w:rPr>
        <w:t>数</w:t>
      </w:r>
      <w:r>
        <w:rPr>
          <w:rFonts w:hint="eastAsia" w:ascii="仿宋" w:hAnsi="仿宋" w:eastAsia="仿宋" w:cs="仿宋"/>
          <w:sz w:val="32"/>
          <w:szCs w:val="32"/>
          <w:highlight w:val="none"/>
          <w:lang w:val="en-US" w:eastAsia="zh-CN"/>
        </w:rPr>
        <w:t>628.50</w:t>
      </w:r>
      <w:r>
        <w:rPr>
          <w:rFonts w:hint="eastAsia" w:ascii="仿宋" w:hAnsi="仿宋" w:eastAsia="仿宋" w:cs="仿宋"/>
          <w:sz w:val="32"/>
          <w:szCs w:val="32"/>
        </w:rPr>
        <w:t>万元，</w:t>
      </w:r>
      <w:r>
        <w:rPr>
          <w:rFonts w:hint="eastAsia" w:ascii="仿宋" w:hAnsi="仿宋" w:eastAsia="仿宋" w:cs="仿宋"/>
          <w:sz w:val="32"/>
          <w:szCs w:val="32"/>
          <w:highlight w:val="none"/>
        </w:rPr>
        <w:t>全年共支出</w:t>
      </w:r>
      <w:r>
        <w:rPr>
          <w:rFonts w:hint="eastAsia" w:ascii="仿宋" w:hAnsi="仿宋" w:eastAsia="仿宋" w:cs="仿宋"/>
          <w:sz w:val="32"/>
          <w:szCs w:val="32"/>
          <w:highlight w:val="none"/>
          <w:lang w:val="en-US" w:eastAsia="zh-CN"/>
        </w:rPr>
        <w:t>625.92</w:t>
      </w:r>
      <w:r>
        <w:rPr>
          <w:rFonts w:hint="eastAsia" w:ascii="仿宋" w:hAnsi="仿宋" w:eastAsia="仿宋" w:cs="仿宋"/>
          <w:sz w:val="32"/>
          <w:szCs w:val="32"/>
          <w:highlight w:val="none"/>
        </w:rPr>
        <w:t>万元</w:t>
      </w:r>
      <w:r>
        <w:rPr>
          <w:rFonts w:hint="eastAsia" w:ascii="仿宋" w:hAnsi="仿宋" w:eastAsia="仿宋" w:cs="仿宋"/>
          <w:sz w:val="32"/>
          <w:szCs w:val="32"/>
          <w:highlight w:val="none"/>
          <w:lang w:eastAsia="zh-CN"/>
        </w:rPr>
        <w:t>，</w:t>
      </w:r>
      <w:r>
        <w:rPr>
          <w:rFonts w:hint="eastAsia" w:ascii="仿宋" w:hAnsi="仿宋" w:eastAsia="仿宋" w:cs="仿宋"/>
          <w:sz w:val="32"/>
          <w:szCs w:val="32"/>
          <w:lang w:eastAsia="zh-CN"/>
        </w:rPr>
        <w:t>全年基本支出整体执行率</w:t>
      </w:r>
      <w:r>
        <w:rPr>
          <w:rFonts w:hint="eastAsia" w:ascii="仿宋" w:hAnsi="仿宋" w:eastAsia="仿宋" w:cs="仿宋"/>
          <w:sz w:val="32"/>
          <w:szCs w:val="32"/>
          <w:lang w:val="en-US" w:eastAsia="zh-CN"/>
        </w:rPr>
        <w:t>99.59%，</w:t>
      </w:r>
      <w:r>
        <w:rPr>
          <w:rFonts w:hint="eastAsia" w:ascii="仿宋" w:hAnsi="仿宋" w:eastAsia="仿宋" w:cs="仿宋"/>
          <w:sz w:val="32"/>
          <w:szCs w:val="32"/>
          <w:highlight w:val="none"/>
          <w:lang w:eastAsia="zh-CN"/>
        </w:rPr>
        <w:t>其中：工资福利支出</w:t>
      </w:r>
      <w:r>
        <w:rPr>
          <w:rFonts w:hint="eastAsia" w:ascii="仿宋" w:hAnsi="仿宋" w:eastAsia="仿宋" w:cs="仿宋"/>
          <w:sz w:val="32"/>
          <w:szCs w:val="32"/>
          <w:highlight w:val="none"/>
          <w:lang w:val="en-US" w:eastAsia="zh-CN"/>
        </w:rPr>
        <w:t>437.58万元，商品和服务支出66.86万元，对个人和家庭的补助支出121.48万元；</w:t>
      </w:r>
      <w:r>
        <w:rPr>
          <w:rFonts w:hint="eastAsia" w:ascii="仿宋" w:hAnsi="仿宋" w:eastAsia="仿宋" w:cs="仿宋"/>
          <w:sz w:val="32"/>
          <w:szCs w:val="32"/>
        </w:rPr>
        <w:t>主要是为保障</w:t>
      </w:r>
      <w:r>
        <w:rPr>
          <w:rFonts w:hint="eastAsia" w:ascii="仿宋" w:hAnsi="仿宋" w:eastAsia="仿宋" w:cs="仿宋"/>
          <w:sz w:val="32"/>
          <w:szCs w:val="32"/>
          <w:lang w:eastAsia="zh-CN"/>
        </w:rPr>
        <w:t>单位</w:t>
      </w:r>
      <w:r>
        <w:rPr>
          <w:rFonts w:hint="eastAsia" w:ascii="仿宋" w:hAnsi="仿宋" w:eastAsia="仿宋" w:cs="仿宋"/>
          <w:sz w:val="32"/>
          <w:szCs w:val="32"/>
        </w:rPr>
        <w:t>正常运转、完成日常工作任务而发生的各项支出</w:t>
      </w:r>
      <w:r>
        <w:rPr>
          <w:rFonts w:hint="eastAsia" w:ascii="仿宋" w:hAnsi="仿宋" w:eastAsia="仿宋" w:cs="仿宋"/>
          <w:sz w:val="32"/>
          <w:szCs w:val="32"/>
          <w:lang w:eastAsia="zh-CN"/>
        </w:rPr>
        <w:t>。</w:t>
      </w:r>
    </w:p>
    <w:p>
      <w:pPr>
        <w:keepNext w:val="0"/>
        <w:keepLines w:val="0"/>
        <w:pageBreakBefore w:val="0"/>
        <w:numPr>
          <w:ilvl w:val="0"/>
          <w:numId w:val="0"/>
        </w:numPr>
        <w:wordWrap/>
        <w:overflowPunct/>
        <w:topLinePunct w:val="0"/>
        <w:bidi w:val="0"/>
        <w:adjustRightInd w:val="0"/>
        <w:snapToGrid w:val="0"/>
        <w:spacing w:line="560" w:lineRule="exact"/>
        <w:ind w:right="0" w:rightChars="0" w:firstLine="640" w:firstLineChars="200"/>
        <w:jc w:val="both"/>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项目支出情况</w:t>
      </w:r>
    </w:p>
    <w:p>
      <w:pPr>
        <w:keepNext w:val="0"/>
        <w:keepLines w:val="0"/>
        <w:pageBreakBefore w:val="0"/>
        <w:numPr>
          <w:ilvl w:val="0"/>
          <w:numId w:val="0"/>
        </w:numPr>
        <w:wordWrap/>
        <w:overflowPunct/>
        <w:topLinePunct w:val="0"/>
        <w:bidi w:val="0"/>
        <w:adjustRightInd w:val="0"/>
        <w:snapToGrid w:val="0"/>
        <w:spacing w:line="560" w:lineRule="exact"/>
        <w:ind w:right="0" w:rightChars="0" w:firstLine="640" w:firstLineChars="200"/>
        <w:jc w:val="both"/>
        <w:rPr>
          <w:rFonts w:hint="eastAsia" w:ascii="仿宋" w:hAnsi="仿宋" w:eastAsia="仿宋" w:cs="仿宋"/>
          <w:color w:val="auto"/>
          <w:kern w:val="0"/>
          <w:sz w:val="32"/>
          <w:szCs w:val="32"/>
        </w:rPr>
      </w:pPr>
      <w:r>
        <w:rPr>
          <w:rFonts w:hint="eastAsia" w:ascii="仿宋" w:hAnsi="仿宋" w:eastAsia="仿宋" w:cs="仿宋"/>
          <w:color w:val="auto"/>
          <w:sz w:val="32"/>
          <w:szCs w:val="32"/>
          <w:lang w:eastAsia="zh-CN"/>
        </w:rPr>
        <w:t>项目</w:t>
      </w:r>
      <w:r>
        <w:rPr>
          <w:rFonts w:hint="eastAsia" w:ascii="仿宋" w:hAnsi="仿宋" w:eastAsia="仿宋" w:cs="仿宋"/>
          <w:color w:val="auto"/>
          <w:sz w:val="32"/>
          <w:szCs w:val="32"/>
        </w:rPr>
        <w:t>支出</w:t>
      </w:r>
      <w:r>
        <w:rPr>
          <w:rFonts w:hint="eastAsia" w:ascii="仿宋" w:hAnsi="仿宋" w:eastAsia="仿宋" w:cs="仿宋"/>
          <w:color w:val="auto"/>
          <w:sz w:val="32"/>
          <w:szCs w:val="32"/>
          <w:lang w:eastAsia="zh-CN"/>
        </w:rPr>
        <w:t>全年预算</w:t>
      </w:r>
      <w:r>
        <w:rPr>
          <w:rFonts w:hint="eastAsia" w:ascii="仿宋" w:hAnsi="仿宋" w:eastAsia="仿宋" w:cs="仿宋"/>
          <w:color w:val="auto"/>
          <w:sz w:val="32"/>
          <w:szCs w:val="32"/>
        </w:rPr>
        <w:t>数</w:t>
      </w:r>
      <w:r>
        <w:rPr>
          <w:rFonts w:hint="eastAsia" w:ascii="仿宋" w:hAnsi="仿宋" w:eastAsia="仿宋" w:cs="仿宋"/>
          <w:color w:val="auto"/>
          <w:sz w:val="32"/>
          <w:szCs w:val="32"/>
          <w:lang w:val="en-US" w:eastAsia="zh-CN"/>
        </w:rPr>
        <w:t>514.21</w:t>
      </w:r>
      <w:r>
        <w:rPr>
          <w:rFonts w:hint="eastAsia" w:ascii="仿宋" w:hAnsi="仿宋" w:eastAsia="仿宋" w:cs="仿宋"/>
          <w:color w:val="auto"/>
          <w:sz w:val="32"/>
          <w:szCs w:val="32"/>
        </w:rPr>
        <w:t>万元，全年共支出</w:t>
      </w:r>
      <w:r>
        <w:rPr>
          <w:rFonts w:hint="eastAsia" w:ascii="仿宋" w:hAnsi="仿宋" w:eastAsia="仿宋" w:cs="仿宋"/>
          <w:color w:val="auto"/>
          <w:sz w:val="32"/>
          <w:szCs w:val="32"/>
          <w:lang w:val="en-US" w:eastAsia="zh-CN"/>
        </w:rPr>
        <w:t>95.71</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CN"/>
        </w:rPr>
        <w:t>，</w:t>
      </w:r>
      <w:r>
        <w:rPr>
          <w:rFonts w:hint="eastAsia" w:ascii="仿宋" w:hAnsi="仿宋" w:eastAsia="仿宋" w:cs="仿宋"/>
          <w:color w:val="auto"/>
          <w:kern w:val="0"/>
          <w:sz w:val="32"/>
          <w:szCs w:val="32"/>
          <w:lang w:val="en-US" w:eastAsia="zh-CN"/>
        </w:rPr>
        <w:t>全年项目支出整体执行率18.61%，其中：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仿宋" w:hAnsi="仿宋" w:eastAsia="仿宋" w:cs="仿宋"/>
          <w:color w:val="auto"/>
          <w:sz w:val="32"/>
          <w:szCs w:val="32"/>
          <w:lang w:eastAsia="zh-CN"/>
        </w:rPr>
      </w:pPr>
      <w:r>
        <w:rPr>
          <w:rFonts w:hint="eastAsia" w:ascii="仿宋" w:hAnsi="仿宋" w:eastAsia="仿宋" w:cs="仿宋"/>
          <w:b/>
          <w:bCs/>
          <w:color w:val="auto"/>
          <w:kern w:val="0"/>
          <w:sz w:val="32"/>
          <w:szCs w:val="32"/>
          <w:lang w:val="en-US" w:eastAsia="zh-CN"/>
        </w:rPr>
        <w:t>1、</w:t>
      </w:r>
      <w:r>
        <w:rPr>
          <w:rFonts w:hint="eastAsia" w:ascii="仿宋" w:hAnsi="仿宋" w:eastAsia="仿宋" w:cs="仿宋"/>
          <w:b/>
          <w:bCs/>
          <w:color w:val="auto"/>
          <w:kern w:val="0"/>
          <w:sz w:val="32"/>
          <w:szCs w:val="32"/>
        </w:rPr>
        <w:t>湖南省网络商品交易监测专项（省级</w:t>
      </w:r>
      <w:r>
        <w:rPr>
          <w:rFonts w:hint="eastAsia" w:ascii="仿宋" w:hAnsi="仿宋" w:eastAsia="仿宋" w:cs="仿宋"/>
          <w:b/>
          <w:bCs/>
          <w:color w:val="auto"/>
          <w:kern w:val="0"/>
          <w:sz w:val="32"/>
          <w:szCs w:val="32"/>
          <w:lang w:eastAsia="zh-CN"/>
        </w:rPr>
        <w:t>专项资金</w:t>
      </w:r>
      <w:r>
        <w:rPr>
          <w:rFonts w:hint="eastAsia" w:ascii="仿宋" w:hAnsi="仿宋" w:eastAsia="仿宋" w:cs="仿宋"/>
          <w:b/>
          <w:bCs/>
          <w:color w:val="auto"/>
          <w:kern w:val="0"/>
          <w:sz w:val="32"/>
          <w:szCs w:val="32"/>
        </w:rPr>
        <w:t>）</w:t>
      </w:r>
      <w:r>
        <w:rPr>
          <w:rFonts w:hint="eastAsia" w:ascii="仿宋" w:hAnsi="仿宋" w:eastAsia="仿宋" w:cs="仿宋"/>
          <w:color w:val="auto"/>
          <w:kern w:val="0"/>
          <w:sz w:val="32"/>
          <w:szCs w:val="32"/>
        </w:rPr>
        <w:t>。</w:t>
      </w:r>
      <w:r>
        <w:rPr>
          <w:rFonts w:hint="eastAsia" w:ascii="仿宋" w:hAnsi="仿宋" w:eastAsia="仿宋" w:cs="仿宋"/>
          <w:color w:val="auto"/>
          <w:kern w:val="0"/>
          <w:sz w:val="32"/>
          <w:szCs w:val="32"/>
          <w:lang w:eastAsia="zh-CN"/>
        </w:rPr>
        <w:t>根据</w:t>
      </w:r>
      <w:r>
        <w:rPr>
          <w:rFonts w:hint="eastAsia" w:ascii="仿宋" w:hAnsi="仿宋" w:eastAsia="仿宋" w:cs="仿宋"/>
          <w:color w:val="auto"/>
          <w:kern w:val="0"/>
          <w:sz w:val="32"/>
          <w:szCs w:val="32"/>
        </w:rPr>
        <w:t>《湖南省财政厅关于</w:t>
      </w:r>
      <w:r>
        <w:rPr>
          <w:rFonts w:hint="eastAsia" w:ascii="仿宋" w:hAnsi="仿宋" w:eastAsia="仿宋" w:cs="仿宋"/>
          <w:color w:val="auto"/>
          <w:kern w:val="0"/>
          <w:sz w:val="32"/>
          <w:szCs w:val="32"/>
          <w:lang w:eastAsia="zh-CN"/>
        </w:rPr>
        <w:t>提前</w:t>
      </w:r>
      <w:r>
        <w:rPr>
          <w:rFonts w:hint="eastAsia" w:ascii="仿宋" w:hAnsi="仿宋" w:eastAsia="仿宋" w:cs="仿宋"/>
          <w:color w:val="auto"/>
          <w:kern w:val="0"/>
          <w:sz w:val="32"/>
          <w:szCs w:val="32"/>
        </w:rPr>
        <w:t>下达202</w:t>
      </w:r>
      <w:r>
        <w:rPr>
          <w:rFonts w:hint="eastAsia" w:ascii="仿宋" w:hAnsi="仿宋" w:eastAsia="仿宋" w:cs="仿宋"/>
          <w:color w:val="auto"/>
          <w:kern w:val="0"/>
          <w:sz w:val="32"/>
          <w:szCs w:val="32"/>
          <w:lang w:val="en-US" w:eastAsia="zh-CN"/>
        </w:rPr>
        <w:t>3</w:t>
      </w:r>
      <w:r>
        <w:rPr>
          <w:rFonts w:hint="eastAsia" w:ascii="仿宋" w:hAnsi="仿宋" w:eastAsia="仿宋" w:cs="仿宋"/>
          <w:color w:val="auto"/>
          <w:kern w:val="0"/>
          <w:sz w:val="32"/>
          <w:szCs w:val="32"/>
        </w:rPr>
        <w:t>年省级市场监督专项资金的通知》（湘财行指〔2022〕</w:t>
      </w:r>
      <w:r>
        <w:rPr>
          <w:rFonts w:hint="eastAsia" w:ascii="仿宋" w:hAnsi="仿宋" w:eastAsia="仿宋" w:cs="仿宋"/>
          <w:color w:val="auto"/>
          <w:kern w:val="0"/>
          <w:sz w:val="32"/>
          <w:szCs w:val="32"/>
          <w:lang w:val="en-US" w:eastAsia="zh-CN"/>
        </w:rPr>
        <w:t>91</w:t>
      </w:r>
      <w:r>
        <w:rPr>
          <w:rFonts w:hint="eastAsia" w:ascii="仿宋" w:hAnsi="仿宋" w:eastAsia="仿宋" w:cs="仿宋"/>
          <w:color w:val="auto"/>
          <w:kern w:val="0"/>
          <w:sz w:val="32"/>
          <w:szCs w:val="32"/>
        </w:rPr>
        <w:t xml:space="preserve"> 号</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lang w:val="en-US" w:eastAsia="zh-CN"/>
        </w:rPr>
        <w:t>拨付湖南省网络商品交易监测专项300万元，</w:t>
      </w:r>
      <w:r>
        <w:rPr>
          <w:rFonts w:hint="eastAsia" w:ascii="仿宋" w:hAnsi="仿宋" w:eastAsia="仿宋" w:cs="仿宋"/>
          <w:color w:val="auto"/>
          <w:sz w:val="32"/>
          <w:szCs w:val="32"/>
        </w:rPr>
        <w:t>整体支出</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万元，整体预算执行率为</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，该资金</w:t>
      </w:r>
      <w:r>
        <w:rPr>
          <w:rFonts w:hint="eastAsia" w:ascii="仿宋" w:hAnsi="仿宋" w:eastAsia="仿宋" w:cs="仿宋"/>
          <w:color w:val="auto"/>
          <w:kern w:val="0"/>
          <w:sz w:val="32"/>
          <w:szCs w:val="32"/>
          <w:lang w:val="en-US" w:eastAsia="zh-CN"/>
        </w:rPr>
        <w:t>主要用于湖南省网络交易监测系统第一期建设，未使用原因为：</w:t>
      </w:r>
      <w:r>
        <w:rPr>
          <w:rFonts w:hint="eastAsia" w:ascii="仿宋" w:hAnsi="仿宋" w:eastAsia="仿宋" w:cs="仿宋"/>
          <w:color w:val="auto"/>
          <w:sz w:val="32"/>
          <w:szCs w:val="32"/>
          <w:lang w:val="en-US" w:eastAsia="zh-CN"/>
        </w:rPr>
        <w:t>经中心申报，省局已将湖南省网络交易监测系统纳入2023年信息化建设项目，并划拨专项经费300万；中心已做好项目建设前期调研和需求征集工作，但由于省局2022年还有部分信息化项目尚未完成验收，省发改委未能同意启动2023年信息化总项目的立项工作，这也导致中心监测系统建设目前无法如期启动，300万专项经费预算无法执行，影响中心年度绩效考核的情况，更重要的是无法解决网监工作急缺“抓手”的突出问题。</w:t>
      </w:r>
    </w:p>
    <w:p>
      <w:pPr>
        <w:keepNext w:val="0"/>
        <w:keepLines w:val="0"/>
        <w:pageBreakBefore w:val="0"/>
        <w:widowControl/>
        <w:numPr>
          <w:ilvl w:val="0"/>
          <w:numId w:val="0"/>
        </w:numPr>
        <w:wordWrap/>
        <w:overflowPunct/>
        <w:topLinePunct w:val="0"/>
        <w:bidi w:val="0"/>
        <w:adjustRightInd w:val="0"/>
        <w:snapToGrid w:val="0"/>
        <w:spacing w:line="560" w:lineRule="exact"/>
        <w:ind w:right="0" w:rightChars="0" w:firstLine="964" w:firstLineChars="300"/>
        <w:jc w:val="both"/>
        <w:rPr>
          <w:rFonts w:hint="eastAsia" w:ascii="仿宋" w:hAnsi="仿宋" w:eastAsia="仿宋" w:cs="仿宋"/>
          <w:color w:val="auto"/>
          <w:kern w:val="0"/>
          <w:sz w:val="32"/>
          <w:szCs w:val="32"/>
          <w:lang w:val="en-US" w:eastAsia="zh-CN"/>
        </w:rPr>
      </w:pPr>
      <w:r>
        <w:rPr>
          <w:rFonts w:hint="eastAsia" w:ascii="仿宋" w:hAnsi="仿宋" w:eastAsia="仿宋" w:cs="仿宋"/>
          <w:b/>
          <w:bCs/>
          <w:color w:val="auto"/>
          <w:kern w:val="0"/>
          <w:sz w:val="32"/>
          <w:szCs w:val="32"/>
          <w:lang w:val="en-US" w:eastAsia="zh-CN"/>
        </w:rPr>
        <w:t>2、</w:t>
      </w:r>
      <w:r>
        <w:rPr>
          <w:rFonts w:hint="eastAsia" w:ascii="仿宋" w:hAnsi="仿宋" w:eastAsia="仿宋" w:cs="仿宋"/>
          <w:b/>
          <w:bCs/>
          <w:color w:val="auto"/>
          <w:kern w:val="0"/>
          <w:sz w:val="32"/>
          <w:szCs w:val="32"/>
          <w:lang w:eastAsia="zh-CN"/>
        </w:rPr>
        <w:t>业务工作经费</w:t>
      </w:r>
      <w:r>
        <w:rPr>
          <w:rFonts w:hint="eastAsia" w:ascii="仿宋" w:hAnsi="仿宋" w:eastAsia="仿宋" w:cs="仿宋"/>
          <w:b/>
          <w:bCs/>
          <w:color w:val="auto"/>
          <w:kern w:val="0"/>
          <w:sz w:val="32"/>
          <w:szCs w:val="32"/>
        </w:rPr>
        <w:t>。</w:t>
      </w:r>
      <w:r>
        <w:rPr>
          <w:rFonts w:hint="eastAsia" w:ascii="仿宋" w:hAnsi="仿宋" w:eastAsia="仿宋" w:cs="仿宋"/>
          <w:b w:val="0"/>
          <w:bCs w:val="0"/>
          <w:color w:val="auto"/>
          <w:kern w:val="0"/>
          <w:sz w:val="32"/>
          <w:szCs w:val="32"/>
          <w:lang w:eastAsia="zh-CN"/>
        </w:rPr>
        <w:t>根据2023〔湘财预〕0001号拨付网监中心业务工作经费</w:t>
      </w:r>
      <w:r>
        <w:rPr>
          <w:rFonts w:hint="eastAsia" w:ascii="仿宋" w:hAnsi="仿宋" w:eastAsia="仿宋" w:cs="仿宋"/>
          <w:b w:val="0"/>
          <w:bCs w:val="0"/>
          <w:color w:val="auto"/>
          <w:kern w:val="0"/>
          <w:sz w:val="32"/>
          <w:szCs w:val="32"/>
          <w:lang w:val="en-US" w:eastAsia="zh-CN"/>
        </w:rPr>
        <w:t>69.20万元，</w:t>
      </w:r>
      <w:r>
        <w:rPr>
          <w:rFonts w:hint="eastAsia" w:ascii="仿宋" w:hAnsi="仿宋" w:eastAsia="仿宋" w:cs="仿宋"/>
          <w:color w:val="auto"/>
          <w:sz w:val="32"/>
          <w:szCs w:val="32"/>
        </w:rPr>
        <w:t>整体支出</w:t>
      </w:r>
      <w:r>
        <w:rPr>
          <w:rFonts w:hint="eastAsia" w:ascii="仿宋" w:hAnsi="仿宋" w:eastAsia="仿宋" w:cs="仿宋"/>
          <w:color w:val="auto"/>
          <w:sz w:val="32"/>
          <w:szCs w:val="32"/>
          <w:lang w:val="en-US" w:eastAsia="zh-CN"/>
        </w:rPr>
        <w:t>48.25</w:t>
      </w:r>
      <w:r>
        <w:rPr>
          <w:rFonts w:hint="eastAsia" w:ascii="仿宋" w:hAnsi="仿宋" w:eastAsia="仿宋" w:cs="仿宋"/>
          <w:color w:val="auto"/>
          <w:sz w:val="32"/>
          <w:szCs w:val="32"/>
        </w:rPr>
        <w:t>万元，整体预算执行率为</w:t>
      </w:r>
      <w:r>
        <w:rPr>
          <w:rFonts w:hint="eastAsia" w:ascii="仿宋" w:hAnsi="仿宋" w:eastAsia="仿宋" w:cs="仿宋"/>
          <w:color w:val="auto"/>
          <w:sz w:val="32"/>
          <w:szCs w:val="32"/>
          <w:lang w:val="en-US" w:eastAsia="zh-CN"/>
        </w:rPr>
        <w:t>69.73</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w:t>
      </w:r>
      <w:r>
        <w:rPr>
          <w:rFonts w:hint="eastAsia" w:ascii="仿宋" w:hAnsi="仿宋" w:eastAsia="仿宋" w:cs="仿宋"/>
          <w:b w:val="0"/>
          <w:bCs w:val="0"/>
          <w:color w:val="auto"/>
          <w:kern w:val="0"/>
          <w:sz w:val="32"/>
          <w:szCs w:val="32"/>
          <w:lang w:val="en-US" w:eastAsia="zh-CN"/>
        </w:rPr>
        <w:t>主要保障</w:t>
      </w:r>
      <w:r>
        <w:rPr>
          <w:rFonts w:hint="eastAsia" w:ascii="仿宋" w:hAnsi="仿宋" w:eastAsia="仿宋" w:cs="仿宋"/>
          <w:color w:val="auto"/>
          <w:kern w:val="0"/>
          <w:sz w:val="32"/>
          <w:szCs w:val="32"/>
          <w:lang w:eastAsia="zh-CN"/>
        </w:rPr>
        <w:t>网监中心</w:t>
      </w:r>
      <w:r>
        <w:rPr>
          <w:rFonts w:hint="eastAsia" w:ascii="仿宋" w:hAnsi="仿宋" w:eastAsia="仿宋" w:cs="仿宋"/>
          <w:color w:val="auto"/>
          <w:kern w:val="0"/>
          <w:sz w:val="32"/>
          <w:szCs w:val="32"/>
          <w:lang w:val="en-US" w:eastAsia="zh-CN"/>
        </w:rPr>
        <w:t>职能业务网络交易监测、广告监测工作而发生的各项业务支出。</w:t>
      </w:r>
    </w:p>
    <w:p>
      <w:pPr>
        <w:pStyle w:val="2"/>
        <w:rPr>
          <w:rFonts w:hint="eastAsia"/>
        </w:rPr>
      </w:pPr>
    </w:p>
    <w:p>
      <w:pPr>
        <w:keepNext w:val="0"/>
        <w:keepLines w:val="0"/>
        <w:pageBreakBefore w:val="0"/>
        <w:widowControl/>
        <w:numPr>
          <w:ilvl w:val="0"/>
          <w:numId w:val="4"/>
        </w:numPr>
        <w:wordWrap/>
        <w:overflowPunct/>
        <w:topLinePunct w:val="0"/>
        <w:bidi w:val="0"/>
        <w:adjustRightInd w:val="0"/>
        <w:snapToGrid w:val="0"/>
        <w:spacing w:line="560" w:lineRule="exact"/>
        <w:ind w:right="0" w:rightChars="0" w:firstLine="643" w:firstLineChars="200"/>
        <w:jc w:val="both"/>
        <w:rPr>
          <w:rFonts w:hint="eastAsia" w:ascii="仿宋" w:hAnsi="仿宋" w:eastAsia="仿宋" w:cs="仿宋"/>
          <w:b/>
          <w:bCs/>
          <w:sz w:val="32"/>
          <w:szCs w:val="32"/>
        </w:rPr>
      </w:pPr>
      <w:r>
        <w:rPr>
          <w:rFonts w:hint="eastAsia" w:ascii="仿宋" w:hAnsi="仿宋" w:eastAsia="仿宋" w:cs="仿宋"/>
          <w:b/>
          <w:bCs/>
          <w:color w:val="auto"/>
          <w:kern w:val="0"/>
          <w:sz w:val="32"/>
          <w:szCs w:val="32"/>
          <w:lang w:eastAsia="zh-CN"/>
        </w:rPr>
        <w:t>其他运转类</w:t>
      </w:r>
      <w:r>
        <w:rPr>
          <w:rFonts w:hint="eastAsia" w:ascii="仿宋" w:hAnsi="仿宋" w:eastAsia="仿宋" w:cs="仿宋"/>
          <w:b/>
          <w:bCs/>
          <w:color w:val="auto"/>
          <w:kern w:val="0"/>
          <w:sz w:val="32"/>
          <w:szCs w:val="32"/>
        </w:rPr>
        <w:t>。</w:t>
      </w:r>
      <w:r>
        <w:rPr>
          <w:rFonts w:hint="eastAsia" w:ascii="仿宋" w:hAnsi="仿宋" w:eastAsia="仿宋" w:cs="仿宋"/>
          <w:b w:val="0"/>
          <w:bCs w:val="0"/>
          <w:color w:val="auto"/>
          <w:kern w:val="0"/>
          <w:sz w:val="32"/>
          <w:szCs w:val="32"/>
          <w:lang w:eastAsia="zh-CN"/>
        </w:rPr>
        <w:t>根据2023〔湘财预〕0001号拨付网监中心办公设备购置费</w:t>
      </w:r>
      <w:r>
        <w:rPr>
          <w:rFonts w:hint="eastAsia" w:ascii="仿宋" w:hAnsi="仿宋" w:eastAsia="仿宋" w:cs="仿宋"/>
          <w:b w:val="0"/>
          <w:bCs w:val="0"/>
          <w:color w:val="auto"/>
          <w:kern w:val="0"/>
          <w:sz w:val="32"/>
          <w:szCs w:val="32"/>
          <w:lang w:val="en-US" w:eastAsia="zh-CN"/>
        </w:rPr>
        <w:t>10万元，</w:t>
      </w:r>
      <w:r>
        <w:rPr>
          <w:rFonts w:hint="eastAsia" w:ascii="仿宋" w:hAnsi="仿宋" w:eastAsia="仿宋" w:cs="仿宋"/>
          <w:color w:val="auto"/>
          <w:sz w:val="32"/>
          <w:szCs w:val="32"/>
        </w:rPr>
        <w:t>整体支出</w:t>
      </w:r>
      <w:r>
        <w:rPr>
          <w:rFonts w:hint="eastAsia" w:ascii="仿宋" w:hAnsi="仿宋" w:eastAsia="仿宋" w:cs="仿宋"/>
          <w:color w:val="auto"/>
          <w:sz w:val="32"/>
          <w:szCs w:val="32"/>
          <w:lang w:val="en-US" w:eastAsia="zh-CN"/>
        </w:rPr>
        <w:t>9.92</w:t>
      </w:r>
      <w:r>
        <w:rPr>
          <w:rFonts w:hint="eastAsia" w:ascii="仿宋" w:hAnsi="仿宋" w:eastAsia="仿宋" w:cs="仿宋"/>
          <w:color w:val="auto"/>
          <w:sz w:val="32"/>
          <w:szCs w:val="32"/>
        </w:rPr>
        <w:t>万元，整体预算执行率为</w:t>
      </w:r>
      <w:r>
        <w:rPr>
          <w:rFonts w:hint="eastAsia" w:ascii="仿宋" w:hAnsi="仿宋" w:eastAsia="仿宋" w:cs="仿宋"/>
          <w:color w:val="auto"/>
          <w:sz w:val="32"/>
          <w:szCs w:val="32"/>
          <w:lang w:val="en-US" w:eastAsia="zh-CN"/>
        </w:rPr>
        <w:t>99.2</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w:t>
      </w:r>
      <w:r>
        <w:rPr>
          <w:rFonts w:hint="eastAsia" w:ascii="仿宋" w:hAnsi="仿宋" w:eastAsia="仿宋" w:cs="仿宋"/>
          <w:b w:val="0"/>
          <w:bCs w:val="0"/>
          <w:color w:val="auto"/>
          <w:kern w:val="0"/>
          <w:sz w:val="32"/>
          <w:szCs w:val="32"/>
          <w:lang w:val="en-US" w:eastAsia="zh-CN"/>
        </w:rPr>
        <w:t>主要保障</w:t>
      </w:r>
      <w:r>
        <w:rPr>
          <w:rFonts w:hint="eastAsia" w:ascii="仿宋" w:hAnsi="仿宋" w:eastAsia="仿宋" w:cs="仿宋"/>
          <w:color w:val="auto"/>
          <w:kern w:val="0"/>
          <w:sz w:val="32"/>
          <w:szCs w:val="32"/>
          <w:lang w:eastAsia="zh-CN"/>
        </w:rPr>
        <w:t>网监中心</w:t>
      </w:r>
      <w:r>
        <w:rPr>
          <w:rFonts w:hint="eastAsia" w:ascii="仿宋" w:hAnsi="仿宋" w:eastAsia="仿宋" w:cs="仿宋"/>
          <w:color w:val="auto"/>
          <w:kern w:val="0"/>
          <w:sz w:val="32"/>
          <w:szCs w:val="32"/>
          <w:lang w:val="en-US" w:eastAsia="zh-CN"/>
        </w:rPr>
        <w:t>办公设备购置支出。</w:t>
      </w:r>
    </w:p>
    <w:p>
      <w:pPr>
        <w:keepNext w:val="0"/>
        <w:keepLines w:val="0"/>
        <w:pageBreakBefore w:val="0"/>
        <w:widowControl/>
        <w:kinsoku/>
        <w:wordWrap/>
        <w:overflowPunct/>
        <w:topLinePunct w:val="0"/>
        <w:autoSpaceDE/>
        <w:autoSpaceDN/>
        <w:bidi w:val="0"/>
        <w:adjustRightInd/>
        <w:snapToGrid w:val="0"/>
        <w:spacing w:line="500" w:lineRule="atLeast"/>
        <w:ind w:left="0" w:leftChars="0" w:right="160" w:firstLine="643" w:firstLineChars="200"/>
        <w:jc w:val="left"/>
        <w:textAlignment w:val="auto"/>
        <w:outlineLvl w:val="9"/>
        <w:rPr>
          <w:rFonts w:hint="eastAsia" w:ascii="仿宋" w:hAnsi="仿宋" w:eastAsia="仿宋" w:cs="仿宋"/>
          <w:b/>
          <w:bCs/>
          <w:color w:val="auto"/>
          <w:kern w:val="0"/>
          <w:sz w:val="32"/>
          <w:szCs w:val="32"/>
          <w:lang w:val="en-US" w:eastAsia="zh-CN"/>
        </w:rPr>
      </w:pPr>
      <w:r>
        <w:rPr>
          <w:rFonts w:hint="eastAsia" w:ascii="仿宋" w:hAnsi="仿宋" w:eastAsia="仿宋" w:cs="仿宋"/>
          <w:b/>
          <w:bCs/>
          <w:color w:val="auto"/>
          <w:kern w:val="0"/>
          <w:sz w:val="32"/>
          <w:szCs w:val="32"/>
          <w:lang w:val="en-US" w:eastAsia="zh-CN"/>
        </w:rPr>
        <w:t>4、</w:t>
      </w:r>
      <w:r>
        <w:rPr>
          <w:rFonts w:hint="eastAsia" w:ascii="仿宋" w:hAnsi="仿宋" w:eastAsia="仿宋" w:cs="仿宋"/>
          <w:b/>
          <w:bCs/>
          <w:color w:val="auto"/>
          <w:sz w:val="32"/>
          <w:szCs w:val="32"/>
          <w:lang w:eastAsia="zh-CN"/>
        </w:rPr>
        <w:t>其他事业发展资金</w:t>
      </w:r>
      <w:r>
        <w:rPr>
          <w:rFonts w:hint="eastAsia" w:ascii="仿宋" w:hAnsi="仿宋" w:eastAsia="仿宋" w:cs="仿宋"/>
          <w:b/>
          <w:bCs/>
          <w:color w:val="auto"/>
          <w:sz w:val="32"/>
          <w:szCs w:val="32"/>
          <w:lang w:val="en-US" w:eastAsia="zh-CN"/>
        </w:rPr>
        <w:t>：</w:t>
      </w:r>
      <w:r>
        <w:rPr>
          <w:rFonts w:hint="eastAsia" w:ascii="仿宋" w:hAnsi="仿宋" w:eastAsia="仿宋" w:cs="仿宋"/>
          <w:b w:val="0"/>
          <w:bCs w:val="0"/>
          <w:color w:val="auto"/>
          <w:sz w:val="32"/>
          <w:szCs w:val="32"/>
          <w:lang w:val="en-US" w:eastAsia="zh-CN"/>
        </w:rPr>
        <w:t>根据湘财行指〔2023〕0092号文件2023年12月26日</w:t>
      </w:r>
      <w:r>
        <w:rPr>
          <w:rFonts w:hint="eastAsia" w:ascii="仿宋" w:hAnsi="仿宋" w:eastAsia="仿宋" w:cs="仿宋"/>
          <w:b w:val="0"/>
          <w:bCs w:val="0"/>
          <w:color w:val="auto"/>
          <w:sz w:val="31"/>
          <w:szCs w:val="31"/>
          <w:lang w:val="en-US" w:eastAsia="zh-CN"/>
        </w:rPr>
        <w:t>追加绩效工资补助预算135.01万元，支出37.54万元，结余97.47万元，</w:t>
      </w:r>
      <w:r>
        <w:rPr>
          <w:rFonts w:hint="eastAsia" w:ascii="仿宋" w:hAnsi="仿宋" w:eastAsia="仿宋" w:cs="仿宋"/>
          <w:b w:val="0"/>
          <w:bCs w:val="0"/>
          <w:color w:val="auto"/>
          <w:sz w:val="32"/>
          <w:szCs w:val="32"/>
        </w:rPr>
        <w:t>预算执行率</w:t>
      </w:r>
      <w:r>
        <w:rPr>
          <w:rFonts w:hint="eastAsia" w:ascii="仿宋" w:hAnsi="仿宋" w:eastAsia="仿宋" w:cs="仿宋"/>
          <w:color w:val="auto"/>
          <w:sz w:val="32"/>
          <w:szCs w:val="32"/>
          <w:lang w:val="en-US" w:eastAsia="zh-CN"/>
        </w:rPr>
        <w:t>27.81</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；该追加预算主要用于因执行省财政厅、省人社厅新出台事业单位绩效工资政策，需补发在职、离休、退休人员</w:t>
      </w:r>
      <w:r>
        <w:rPr>
          <w:rFonts w:hint="eastAsia" w:ascii="仿宋" w:hAnsi="仿宋" w:eastAsia="仿宋" w:cs="仿宋"/>
          <w:color w:val="auto"/>
          <w:sz w:val="32"/>
          <w:szCs w:val="32"/>
          <w:lang w:val="en-US" w:eastAsia="zh-CN"/>
        </w:rPr>
        <w:t>2023年度</w:t>
      </w:r>
      <w:r>
        <w:rPr>
          <w:rFonts w:hint="eastAsia" w:ascii="仿宋" w:hAnsi="仿宋" w:eastAsia="仿宋" w:cs="仿宋"/>
          <w:color w:val="auto"/>
          <w:sz w:val="32"/>
          <w:szCs w:val="32"/>
          <w:lang w:eastAsia="zh-CN"/>
        </w:rPr>
        <w:t>绩效工资等。</w:t>
      </w:r>
    </w:p>
    <w:p>
      <w:pPr>
        <w:keepNext w:val="0"/>
        <w:keepLines w:val="0"/>
        <w:pageBreakBefore w:val="0"/>
        <w:widowControl/>
        <w:numPr>
          <w:ilvl w:val="0"/>
          <w:numId w:val="0"/>
        </w:numPr>
        <w:wordWrap/>
        <w:overflowPunct/>
        <w:topLinePunct w:val="0"/>
        <w:bidi w:val="0"/>
        <w:adjustRightInd w:val="0"/>
        <w:snapToGrid w:val="0"/>
        <w:spacing w:line="560" w:lineRule="exact"/>
        <w:ind w:right="0" w:rightChars="0"/>
        <w:jc w:val="both"/>
        <w:rPr>
          <w:rFonts w:hint="eastAsia" w:ascii="仿宋" w:hAnsi="仿宋" w:eastAsia="仿宋" w:cs="仿宋"/>
          <w:b/>
          <w:bCs/>
          <w:sz w:val="32"/>
          <w:szCs w:val="32"/>
        </w:rPr>
      </w:pPr>
      <w:r>
        <w:rPr>
          <w:rFonts w:hint="eastAsia" w:ascii="仿宋" w:hAnsi="仿宋" w:eastAsia="仿宋" w:cs="仿宋"/>
          <w:b/>
          <w:bCs/>
          <w:sz w:val="32"/>
          <w:szCs w:val="32"/>
        </w:rPr>
        <w:t>三、政府性基金预算支出情况</w:t>
      </w:r>
    </w:p>
    <w:p>
      <w:pPr>
        <w:keepNext w:val="0"/>
        <w:keepLines w:val="0"/>
        <w:pageBreakBefore w:val="0"/>
        <w:wordWrap/>
        <w:overflowPunct/>
        <w:topLinePunct w:val="0"/>
        <w:bidi w:val="0"/>
        <w:adjustRightInd w:val="0"/>
        <w:snapToGrid w:val="0"/>
        <w:spacing w:line="560" w:lineRule="exact"/>
        <w:ind w:right="0" w:rightChars="0" w:firstLine="640"/>
        <w:jc w:val="both"/>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年我</w:t>
      </w:r>
      <w:r>
        <w:rPr>
          <w:rFonts w:hint="eastAsia" w:ascii="仿宋" w:hAnsi="仿宋" w:eastAsia="仿宋" w:cs="仿宋"/>
          <w:sz w:val="32"/>
          <w:szCs w:val="32"/>
          <w:lang w:eastAsia="zh-CN"/>
        </w:rPr>
        <w:t>单位</w:t>
      </w:r>
      <w:r>
        <w:rPr>
          <w:rFonts w:hint="eastAsia" w:ascii="仿宋" w:hAnsi="仿宋" w:eastAsia="仿宋" w:cs="仿宋"/>
          <w:sz w:val="32"/>
          <w:szCs w:val="32"/>
        </w:rPr>
        <w:t>无政府性基金预算支出情况。</w:t>
      </w:r>
    </w:p>
    <w:p>
      <w:pPr>
        <w:keepNext w:val="0"/>
        <w:keepLines w:val="0"/>
        <w:pageBreakBefore w:val="0"/>
        <w:wordWrap/>
        <w:overflowPunct/>
        <w:topLinePunct w:val="0"/>
        <w:bidi w:val="0"/>
        <w:adjustRightInd w:val="0"/>
        <w:snapToGrid w:val="0"/>
        <w:spacing w:line="560" w:lineRule="exact"/>
        <w:ind w:right="0" w:rightChars="0"/>
        <w:jc w:val="both"/>
        <w:rPr>
          <w:rFonts w:hint="eastAsia" w:ascii="仿宋" w:hAnsi="仿宋" w:eastAsia="仿宋" w:cs="仿宋"/>
          <w:b/>
          <w:bCs/>
          <w:sz w:val="32"/>
          <w:szCs w:val="32"/>
        </w:rPr>
      </w:pPr>
      <w:r>
        <w:rPr>
          <w:rFonts w:hint="eastAsia" w:ascii="仿宋" w:hAnsi="仿宋" w:eastAsia="仿宋" w:cs="仿宋"/>
          <w:b/>
          <w:bCs/>
          <w:sz w:val="32"/>
          <w:szCs w:val="32"/>
        </w:rPr>
        <w:t>四、国有资本经营预算支出情况</w:t>
      </w:r>
    </w:p>
    <w:p>
      <w:pPr>
        <w:keepNext w:val="0"/>
        <w:keepLines w:val="0"/>
        <w:pageBreakBefore w:val="0"/>
        <w:wordWrap/>
        <w:overflowPunct/>
        <w:topLinePunct w:val="0"/>
        <w:bidi w:val="0"/>
        <w:adjustRightInd w:val="0"/>
        <w:snapToGrid w:val="0"/>
        <w:spacing w:line="560" w:lineRule="exact"/>
        <w:ind w:right="0" w:rightChars="0" w:firstLine="640"/>
        <w:jc w:val="both"/>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年我</w:t>
      </w:r>
      <w:r>
        <w:rPr>
          <w:rFonts w:hint="eastAsia" w:ascii="仿宋" w:hAnsi="仿宋" w:eastAsia="仿宋" w:cs="仿宋"/>
          <w:sz w:val="32"/>
          <w:szCs w:val="32"/>
          <w:lang w:eastAsia="zh-CN"/>
        </w:rPr>
        <w:t>单位</w:t>
      </w:r>
      <w:r>
        <w:rPr>
          <w:rFonts w:hint="eastAsia" w:ascii="仿宋" w:hAnsi="仿宋" w:eastAsia="仿宋" w:cs="仿宋"/>
          <w:sz w:val="32"/>
          <w:szCs w:val="32"/>
        </w:rPr>
        <w:t>无国有资本经营预算支出情况。</w:t>
      </w:r>
    </w:p>
    <w:p>
      <w:pPr>
        <w:keepNext w:val="0"/>
        <w:keepLines w:val="0"/>
        <w:pageBreakBefore w:val="0"/>
        <w:wordWrap/>
        <w:overflowPunct/>
        <w:topLinePunct w:val="0"/>
        <w:bidi w:val="0"/>
        <w:adjustRightInd w:val="0"/>
        <w:snapToGrid w:val="0"/>
        <w:spacing w:line="560" w:lineRule="exact"/>
        <w:ind w:right="0" w:rightChars="0"/>
        <w:jc w:val="both"/>
        <w:rPr>
          <w:rFonts w:hint="eastAsia" w:ascii="仿宋" w:hAnsi="仿宋" w:eastAsia="仿宋" w:cs="仿宋"/>
          <w:b/>
          <w:bCs/>
          <w:sz w:val="32"/>
          <w:szCs w:val="32"/>
        </w:rPr>
      </w:pPr>
      <w:r>
        <w:rPr>
          <w:rFonts w:hint="eastAsia" w:ascii="仿宋" w:hAnsi="仿宋" w:eastAsia="仿宋" w:cs="仿宋"/>
          <w:b/>
          <w:bCs/>
          <w:sz w:val="32"/>
          <w:szCs w:val="32"/>
        </w:rPr>
        <w:t>五、社会保险基金预算支出情况</w:t>
      </w:r>
    </w:p>
    <w:p>
      <w:pPr>
        <w:keepNext w:val="0"/>
        <w:keepLines w:val="0"/>
        <w:pageBreakBefore w:val="0"/>
        <w:wordWrap/>
        <w:overflowPunct/>
        <w:topLinePunct w:val="0"/>
        <w:bidi w:val="0"/>
        <w:adjustRightInd w:val="0"/>
        <w:snapToGrid w:val="0"/>
        <w:spacing w:line="560" w:lineRule="exact"/>
        <w:ind w:right="0" w:rightChars="0" w:firstLine="640"/>
        <w:jc w:val="both"/>
        <w:rPr>
          <w:rFonts w:hint="eastAsia" w:ascii="仿宋" w:hAnsi="仿宋" w:eastAsia="仿宋" w:cs="仿宋"/>
          <w:sz w:val="32"/>
          <w:szCs w:val="32"/>
          <w:lang w:val="en-US"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年我</w:t>
      </w:r>
      <w:r>
        <w:rPr>
          <w:rFonts w:hint="eastAsia" w:ascii="仿宋" w:hAnsi="仿宋" w:eastAsia="仿宋" w:cs="仿宋"/>
          <w:sz w:val="32"/>
          <w:szCs w:val="32"/>
          <w:lang w:eastAsia="zh-CN"/>
        </w:rPr>
        <w:t>单位</w:t>
      </w:r>
      <w:r>
        <w:rPr>
          <w:rFonts w:hint="eastAsia" w:ascii="仿宋" w:hAnsi="仿宋" w:eastAsia="仿宋" w:cs="仿宋"/>
          <w:sz w:val="32"/>
          <w:szCs w:val="32"/>
        </w:rPr>
        <w:t>无社会保险基金预算支出情况。</w:t>
      </w:r>
    </w:p>
    <w:p>
      <w:pPr>
        <w:keepNext w:val="0"/>
        <w:keepLines w:val="0"/>
        <w:pageBreakBefore w:val="0"/>
        <w:numPr>
          <w:ilvl w:val="0"/>
          <w:numId w:val="0"/>
        </w:numPr>
        <w:wordWrap/>
        <w:overflowPunct/>
        <w:topLinePunct w:val="0"/>
        <w:bidi w:val="0"/>
        <w:adjustRightInd w:val="0"/>
        <w:snapToGrid w:val="0"/>
        <w:spacing w:line="560" w:lineRule="exact"/>
        <w:ind w:right="0" w:rightChars="0"/>
        <w:jc w:val="both"/>
        <w:rPr>
          <w:rFonts w:hint="eastAsia" w:ascii="仿宋" w:hAnsi="仿宋" w:eastAsia="仿宋" w:cs="仿宋"/>
          <w:b/>
          <w:bCs/>
          <w:sz w:val="32"/>
          <w:szCs w:val="32"/>
        </w:rPr>
      </w:pPr>
      <w:r>
        <w:rPr>
          <w:rFonts w:hint="eastAsia" w:ascii="仿宋" w:hAnsi="仿宋" w:eastAsia="仿宋" w:cs="仿宋"/>
          <w:b/>
          <w:bCs/>
          <w:sz w:val="32"/>
          <w:szCs w:val="32"/>
          <w:lang w:eastAsia="zh-CN"/>
        </w:rPr>
        <w:t>六、单位</w:t>
      </w:r>
      <w:r>
        <w:rPr>
          <w:rFonts w:hint="eastAsia" w:ascii="仿宋" w:hAnsi="仿宋" w:eastAsia="仿宋" w:cs="仿宋"/>
          <w:b/>
          <w:bCs/>
          <w:sz w:val="32"/>
          <w:szCs w:val="32"/>
        </w:rPr>
        <w:t>整体支出绩效情况</w:t>
      </w:r>
    </w:p>
    <w:p>
      <w:pPr>
        <w:keepNext w:val="0"/>
        <w:keepLines w:val="0"/>
        <w:pageBreakBefore w:val="0"/>
        <w:numPr>
          <w:ilvl w:val="0"/>
          <w:numId w:val="0"/>
        </w:numPr>
        <w:wordWrap/>
        <w:overflowPunct/>
        <w:topLinePunct w:val="0"/>
        <w:bidi w:val="0"/>
        <w:adjustRightInd w:val="0"/>
        <w:snapToGrid w:val="0"/>
        <w:spacing w:line="560" w:lineRule="exact"/>
        <w:ind w:right="0" w:rightChars="0" w:firstLine="640" w:firstLineChars="200"/>
        <w:jc w:val="both"/>
        <w:rPr>
          <w:rFonts w:hint="eastAsia" w:ascii="仿宋" w:hAnsi="仿宋" w:eastAsia="仿宋" w:cs="仿宋"/>
          <w:color w:val="000000"/>
          <w:sz w:val="32"/>
          <w:szCs w:val="32"/>
          <w:shd w:val="clear" w:color="auto" w:fill="FFFFFF"/>
        </w:rPr>
      </w:pPr>
      <w:bookmarkStart w:id="27" w:name="OLE_LINK9"/>
      <w:r>
        <w:rPr>
          <w:rFonts w:hint="eastAsia" w:ascii="仿宋" w:hAnsi="仿宋" w:eastAsia="仿宋" w:cs="仿宋"/>
          <w:color w:val="000000"/>
          <w:sz w:val="32"/>
          <w:szCs w:val="32"/>
          <w:shd w:val="clear" w:color="auto" w:fill="FFFFFF"/>
        </w:rPr>
        <w:t>2</w:t>
      </w:r>
      <w:bookmarkStart w:id="28" w:name="OLE_LINK8"/>
      <w:r>
        <w:rPr>
          <w:rFonts w:hint="eastAsia" w:ascii="仿宋" w:hAnsi="仿宋" w:eastAsia="仿宋" w:cs="仿宋"/>
          <w:color w:val="000000"/>
          <w:sz w:val="32"/>
          <w:szCs w:val="32"/>
          <w:shd w:val="clear" w:color="auto" w:fill="FFFFFF"/>
        </w:rPr>
        <w:t>02</w:t>
      </w:r>
      <w:r>
        <w:rPr>
          <w:rFonts w:hint="eastAsia" w:ascii="仿宋" w:hAnsi="仿宋" w:eastAsia="仿宋" w:cs="仿宋"/>
          <w:color w:val="000000"/>
          <w:sz w:val="32"/>
          <w:szCs w:val="32"/>
          <w:shd w:val="clear" w:color="auto" w:fill="FFFFFF"/>
          <w:lang w:val="en-US" w:eastAsia="zh-CN"/>
        </w:rPr>
        <w:t>3</w:t>
      </w:r>
      <w:r>
        <w:rPr>
          <w:rFonts w:hint="eastAsia" w:ascii="仿宋" w:hAnsi="仿宋" w:eastAsia="仿宋" w:cs="仿宋"/>
          <w:color w:val="000000"/>
          <w:sz w:val="32"/>
          <w:szCs w:val="32"/>
          <w:shd w:val="clear" w:color="auto" w:fill="FFFFFF"/>
        </w:rPr>
        <w:t>年全年预算数为</w:t>
      </w:r>
      <w:r>
        <w:rPr>
          <w:rFonts w:hint="eastAsia" w:ascii="仿宋" w:hAnsi="仿宋" w:eastAsia="仿宋" w:cs="仿宋"/>
          <w:color w:val="000000"/>
          <w:sz w:val="32"/>
          <w:szCs w:val="32"/>
          <w:shd w:val="clear" w:color="auto" w:fill="FFFFFF"/>
          <w:lang w:val="en-US" w:eastAsia="zh-CN"/>
        </w:rPr>
        <w:t>1142.71</w:t>
      </w:r>
      <w:r>
        <w:rPr>
          <w:rFonts w:hint="eastAsia" w:ascii="仿宋" w:hAnsi="仿宋" w:eastAsia="仿宋" w:cs="仿宋"/>
          <w:color w:val="000000"/>
          <w:sz w:val="32"/>
          <w:szCs w:val="32"/>
          <w:shd w:val="clear" w:color="auto" w:fill="FFFFFF"/>
        </w:rPr>
        <w:t>万元，</w:t>
      </w:r>
      <w:r>
        <w:rPr>
          <w:rFonts w:hint="eastAsia" w:ascii="仿宋" w:hAnsi="仿宋" w:eastAsia="仿宋" w:cs="仿宋"/>
          <w:color w:val="000000"/>
          <w:sz w:val="32"/>
          <w:szCs w:val="32"/>
          <w:highlight w:val="none"/>
          <w:shd w:val="clear" w:color="auto" w:fill="FFFFFF"/>
        </w:rPr>
        <w:t>支出</w:t>
      </w:r>
      <w:r>
        <w:rPr>
          <w:rFonts w:hint="eastAsia" w:ascii="仿宋" w:hAnsi="仿宋" w:eastAsia="仿宋" w:cs="仿宋"/>
          <w:color w:val="000000"/>
          <w:sz w:val="32"/>
          <w:szCs w:val="32"/>
          <w:highlight w:val="none"/>
          <w:shd w:val="clear" w:color="auto" w:fill="FFFFFF"/>
          <w:lang w:val="en-US" w:eastAsia="zh-CN"/>
        </w:rPr>
        <w:t>721.63</w:t>
      </w:r>
      <w:r>
        <w:rPr>
          <w:rFonts w:hint="eastAsia" w:ascii="仿宋" w:hAnsi="仿宋" w:eastAsia="仿宋" w:cs="仿宋"/>
          <w:color w:val="000000"/>
          <w:sz w:val="32"/>
          <w:szCs w:val="32"/>
          <w:highlight w:val="none"/>
          <w:shd w:val="clear" w:color="auto" w:fill="FFFFFF"/>
        </w:rPr>
        <w:t>万元</w:t>
      </w:r>
      <w:r>
        <w:rPr>
          <w:rFonts w:hint="eastAsia" w:ascii="仿宋" w:hAnsi="仿宋" w:eastAsia="仿宋" w:cs="仿宋"/>
          <w:color w:val="000000"/>
          <w:sz w:val="32"/>
          <w:szCs w:val="32"/>
          <w:shd w:val="clear" w:color="auto" w:fill="FFFFFF"/>
        </w:rPr>
        <w:t>，其中：</w:t>
      </w:r>
      <w:r>
        <w:rPr>
          <w:rFonts w:hint="eastAsia" w:ascii="仿宋" w:hAnsi="仿宋" w:eastAsia="仿宋" w:cs="仿宋"/>
          <w:color w:val="000000"/>
          <w:sz w:val="32"/>
          <w:szCs w:val="32"/>
          <w:highlight w:val="none"/>
          <w:shd w:val="clear" w:color="auto" w:fill="FFFFFF"/>
        </w:rPr>
        <w:t>基本支出为</w:t>
      </w:r>
      <w:r>
        <w:rPr>
          <w:rFonts w:hint="eastAsia" w:ascii="仿宋" w:hAnsi="仿宋" w:eastAsia="仿宋" w:cs="仿宋"/>
          <w:color w:val="000000"/>
          <w:sz w:val="32"/>
          <w:szCs w:val="32"/>
          <w:highlight w:val="none"/>
          <w:shd w:val="clear" w:color="auto" w:fill="FFFFFF"/>
          <w:lang w:val="en-US" w:eastAsia="zh-CN"/>
        </w:rPr>
        <w:t>625.92</w:t>
      </w:r>
      <w:r>
        <w:rPr>
          <w:rFonts w:hint="eastAsia" w:ascii="仿宋" w:hAnsi="仿宋" w:eastAsia="仿宋" w:cs="仿宋"/>
          <w:color w:val="000000"/>
          <w:sz w:val="32"/>
          <w:szCs w:val="32"/>
          <w:highlight w:val="none"/>
          <w:shd w:val="clear" w:color="auto" w:fill="FFFFFF"/>
        </w:rPr>
        <w:t>万元</w:t>
      </w:r>
      <w:r>
        <w:rPr>
          <w:rFonts w:hint="eastAsia" w:ascii="仿宋" w:hAnsi="仿宋" w:eastAsia="仿宋" w:cs="仿宋"/>
          <w:color w:val="000000"/>
          <w:sz w:val="32"/>
          <w:szCs w:val="32"/>
          <w:shd w:val="clear" w:color="auto" w:fill="FFFFFF"/>
        </w:rPr>
        <w:t>，项目支出</w:t>
      </w:r>
      <w:r>
        <w:rPr>
          <w:rFonts w:hint="eastAsia" w:ascii="仿宋" w:hAnsi="仿宋" w:eastAsia="仿宋" w:cs="仿宋"/>
          <w:color w:val="000000"/>
          <w:sz w:val="32"/>
          <w:szCs w:val="32"/>
          <w:shd w:val="clear" w:color="auto" w:fill="FFFFFF"/>
          <w:lang w:val="en-US" w:eastAsia="zh-CN"/>
        </w:rPr>
        <w:t>95.71</w:t>
      </w:r>
      <w:r>
        <w:rPr>
          <w:rFonts w:hint="eastAsia" w:ascii="仿宋" w:hAnsi="仿宋" w:eastAsia="仿宋" w:cs="仿宋"/>
          <w:color w:val="000000"/>
          <w:sz w:val="32"/>
          <w:szCs w:val="32"/>
          <w:shd w:val="clear" w:color="auto" w:fill="FFFFFF"/>
        </w:rPr>
        <w:t>万元。中心严格执行中央八项规定和财务管理制度，根据年初预算，除优先安排人员基本经费支出外，合理安排日常公用经费及项目经费，做到厉行节约、精打细算，把有限的资金用到刀刃上，保证中心各项工作的正常运转。</w:t>
      </w:r>
      <w:bookmarkEnd w:id="28"/>
    </w:p>
    <w:bookmarkEnd w:id="27"/>
    <w:p>
      <w:pPr>
        <w:keepNext w:val="0"/>
        <w:keepLines w:val="0"/>
        <w:pageBreakBefore w:val="0"/>
        <w:wordWrap/>
        <w:overflowPunct/>
        <w:topLinePunct w:val="0"/>
        <w:bidi w:val="0"/>
        <w:adjustRightInd w:val="0"/>
        <w:snapToGrid w:val="0"/>
        <w:spacing w:line="560" w:lineRule="exact"/>
        <w:ind w:right="0" w:rightChars="0" w:firstLine="630"/>
        <w:jc w:val="both"/>
        <w:rPr>
          <w:rFonts w:hint="eastAsia" w:ascii="仿宋" w:hAnsi="仿宋" w:eastAsia="仿宋" w:cs="仿宋"/>
          <w:color w:val="auto"/>
          <w:sz w:val="32"/>
          <w:szCs w:val="32"/>
          <w:shd w:val="clear" w:color="auto" w:fill="FFFFFF"/>
        </w:rPr>
      </w:pPr>
      <w:r>
        <w:rPr>
          <w:rFonts w:hint="eastAsia" w:ascii="仿宋" w:hAnsi="仿宋" w:eastAsia="仿宋" w:cs="仿宋"/>
          <w:b/>
          <w:bCs/>
          <w:color w:val="auto"/>
          <w:sz w:val="32"/>
          <w:szCs w:val="32"/>
          <w:shd w:val="clear" w:color="auto" w:fill="FFFFFF"/>
        </w:rPr>
        <w:t>(一)强化党建引领，筑牢战斗堡垒</w:t>
      </w:r>
      <w:r>
        <w:rPr>
          <w:rFonts w:hint="eastAsia" w:ascii="仿宋" w:hAnsi="仿宋" w:eastAsia="仿宋" w:cs="仿宋"/>
          <w:b/>
          <w:bCs/>
          <w:color w:val="auto"/>
          <w:sz w:val="32"/>
          <w:szCs w:val="32"/>
          <w:shd w:val="clear" w:color="auto" w:fill="FFFFFF"/>
          <w:lang w:eastAsia="zh-CN"/>
        </w:rPr>
        <w:t>。</w:t>
      </w:r>
      <w:r>
        <w:rPr>
          <w:rFonts w:hint="eastAsia" w:ascii="仿宋" w:hAnsi="仿宋" w:eastAsia="仿宋" w:cs="仿宋"/>
          <w:color w:val="auto"/>
          <w:sz w:val="32"/>
          <w:szCs w:val="32"/>
          <w:shd w:val="clear" w:color="auto" w:fill="FFFFFF"/>
        </w:rPr>
        <w:t>网监中心始终坚持党的全面领导，构建“党建+”工作格局，深入贯彻落实党的理论和路线方针政策以及中央重大决策部署、省委工作要求、省局党组重要工作安排。一是以理论学习武装思想灵魂。网监中心坚决落实“第一议题”制度，深入开展习近平新时代中国特色社会主义思想主题教育，以集中学习、个人自学、专题研讨、专家辅导等方式让党员干部掌握马克思主义理论武器，提高马克思主义理论水平和应用能力，把党的创新理论转化为推进新时代中国特色社会主义伟大事业的实践力量。截止目前，网监中心开展集中学习11次、专题研讨11次、专家辅导2次。二是以行动自觉践行初心使命。网监中心抓实抓细“一月一课一片一实践”及“走找想促”调研活动。今年初在省局机关党委统一部署“一月一课一片一实践”活动前，中心便提前启动青年干部理论宣讲活动，发动中心45岁以下青年干部讲理论、讲政策、讲党史。另外，中心今年由5个处级干部带队先后与国家总局、山东省局、济南市局、长沙市局、雨花区局以及凭安征信、美亚柏科、蓝天云等第三方公司进行调研交流，圆满完成5个调研课题，并在调研过程中发现了省局监管系统经营主体数据不全、户外LED屏显广告存在涉嫌违法违规等问题。经过整改，完善了网络市场主体数据总计407634 家，103块户外LED屏数据采集率达到100%。三是以廉政监督建设清廉单元。中心制定《党风廉政建设主体责任监督责任和责任追究工作要点》，开展“两带头五整治”纠风防腐专项行动，自觉公开所有公务交通出行情况及公务餐接待情况，要求班支两委成员如实报告个人重大事项，在春节、中秋等传统节日前召开大会对干部职工进行廉政提醒，中心成立以来未发生任何违纪违法行为。四是积极配合完成政治巡察工作。网监中心主动对接、积极配合、履职尽责，从思想上、态度上、行动上正确对待政治体检，积极配合省局党组巡察组完成了各项政治巡察任务。</w:t>
      </w:r>
    </w:p>
    <w:p>
      <w:pPr>
        <w:keepNext w:val="0"/>
        <w:keepLines w:val="0"/>
        <w:pageBreakBefore w:val="0"/>
        <w:wordWrap/>
        <w:overflowPunct/>
        <w:topLinePunct w:val="0"/>
        <w:bidi w:val="0"/>
        <w:adjustRightInd w:val="0"/>
        <w:snapToGrid w:val="0"/>
        <w:spacing w:line="560" w:lineRule="exact"/>
        <w:ind w:right="0" w:rightChars="0" w:firstLine="630"/>
        <w:jc w:val="both"/>
        <w:rPr>
          <w:rFonts w:hint="eastAsia" w:ascii="仿宋" w:hAnsi="仿宋" w:eastAsia="仿宋" w:cs="仿宋"/>
          <w:color w:val="auto"/>
          <w:sz w:val="32"/>
          <w:szCs w:val="32"/>
          <w:shd w:val="clear" w:color="auto" w:fill="FFFFFF"/>
        </w:rPr>
      </w:pPr>
      <w:r>
        <w:rPr>
          <w:rFonts w:hint="eastAsia" w:ascii="仿宋" w:hAnsi="仿宋" w:eastAsia="仿宋" w:cs="仿宋"/>
          <w:b/>
          <w:bCs/>
          <w:color w:val="auto"/>
          <w:sz w:val="32"/>
          <w:szCs w:val="32"/>
          <w:shd w:val="clear" w:color="auto" w:fill="FFFFFF"/>
        </w:rPr>
        <w:t>（二）加强意识形态，坚定理想信念</w:t>
      </w:r>
      <w:r>
        <w:rPr>
          <w:rFonts w:hint="eastAsia" w:ascii="仿宋" w:hAnsi="仿宋" w:eastAsia="仿宋" w:cs="仿宋"/>
          <w:b/>
          <w:bCs/>
          <w:color w:val="auto"/>
          <w:sz w:val="32"/>
          <w:szCs w:val="32"/>
          <w:shd w:val="clear" w:color="auto" w:fill="FFFFFF"/>
          <w:lang w:eastAsia="zh-CN"/>
        </w:rPr>
        <w:t>。</w:t>
      </w:r>
      <w:r>
        <w:rPr>
          <w:rFonts w:hint="eastAsia" w:ascii="仿宋" w:hAnsi="仿宋" w:eastAsia="仿宋" w:cs="仿宋"/>
          <w:color w:val="auto"/>
          <w:sz w:val="32"/>
          <w:szCs w:val="32"/>
          <w:shd w:val="clear" w:color="auto" w:fill="FFFFFF"/>
        </w:rPr>
        <w:t>中心积极研究和探索新形势下意识形态工作的特点和规律，以服务经济社会发展和推动市场监管工作为着力点，以广大党员干部为抓手，以宣传思想工作为载体，始终牢牢把握正确的政治方向，有力推动了意识形态工作落实见效。一是强化责任担当，落实意识形态工作责任制。中心坚持把意识形态工作作为党的建设重要内容，纳入支委班子重要议事日程，纳入党建工作责任制，做到意识形态领域工作与党的建设工作统筹谋划，整体推进，确保责任落实。及时对上级意识形态工作方面的会议精神进行传达学习，研究具体贯彻落实意见；及时听取意识形态工作情况汇报，研讨分析意识形态领域形势。今年以来，中心支委专题研究意识形态工作2次，全年未发生意识形态领域重大问题和突发事件。二是强化理论武装，增强意识形态工作引领力。中心上下坚持把学习宣传贯彻习近平新时代中国特色社会主义思想作为首要政治任务，在学懂弄通做实上下狠功夫。围绕学习贯彻党的二十大精神、“习近平新时代中国特色社会主义思想”主题教育等主题活动，深入企业、基层调研交流，在组织宣讲学习自我提升的同时推动了党的创新理论飞入寻常百姓家。三是强化舆论引导，掌握意识形态工作主导权。坚持正面宣传，弘扬主旋律、传播正能量，着力用党的二十大精神统一思想、凝聚力量。充分利用宣传栏、公众号大力宣传习近平新时代中国特色社会主义思想、社会主义核心价值观等，全面弘扬主流思想价值文化。对各类互联网和新媒体信息实施全面监看和及时引导，全面加强干部职工微信群、QQ群的管理。</w:t>
      </w:r>
    </w:p>
    <w:p>
      <w:pPr>
        <w:keepNext w:val="0"/>
        <w:keepLines w:val="0"/>
        <w:pageBreakBefore w:val="0"/>
        <w:wordWrap/>
        <w:overflowPunct/>
        <w:topLinePunct w:val="0"/>
        <w:bidi w:val="0"/>
        <w:adjustRightInd w:val="0"/>
        <w:snapToGrid w:val="0"/>
        <w:spacing w:line="560" w:lineRule="exact"/>
        <w:ind w:right="0" w:rightChars="0" w:firstLine="630"/>
        <w:jc w:val="both"/>
        <w:rPr>
          <w:rFonts w:hint="eastAsia" w:ascii="仿宋" w:hAnsi="仿宋" w:eastAsia="仿宋" w:cs="仿宋"/>
          <w:color w:val="auto"/>
          <w:sz w:val="32"/>
          <w:szCs w:val="32"/>
          <w:shd w:val="clear" w:color="auto" w:fill="FFFFFF"/>
        </w:rPr>
      </w:pPr>
      <w:r>
        <w:rPr>
          <w:rFonts w:hint="eastAsia" w:ascii="仿宋" w:hAnsi="仿宋" w:eastAsia="仿宋" w:cs="仿宋"/>
          <w:b/>
          <w:bCs/>
          <w:color w:val="auto"/>
          <w:sz w:val="32"/>
          <w:szCs w:val="32"/>
          <w:shd w:val="clear" w:color="auto" w:fill="FFFFFF"/>
        </w:rPr>
        <w:t>（三）规范综合管理，提升行政效能</w:t>
      </w:r>
      <w:r>
        <w:rPr>
          <w:rFonts w:hint="eastAsia" w:ascii="仿宋" w:hAnsi="仿宋" w:eastAsia="仿宋" w:cs="仿宋"/>
          <w:b/>
          <w:bCs/>
          <w:color w:val="auto"/>
          <w:sz w:val="32"/>
          <w:szCs w:val="32"/>
          <w:shd w:val="clear" w:color="auto" w:fill="FFFFFF"/>
          <w:lang w:eastAsia="zh-CN"/>
        </w:rPr>
        <w:t>。</w:t>
      </w:r>
      <w:r>
        <w:rPr>
          <w:rFonts w:hint="eastAsia" w:ascii="仿宋" w:hAnsi="仿宋" w:eastAsia="仿宋" w:cs="仿宋"/>
          <w:color w:val="auto"/>
          <w:sz w:val="32"/>
          <w:szCs w:val="32"/>
          <w:shd w:val="clear" w:color="auto" w:fill="FFFFFF"/>
        </w:rPr>
        <w:t>一是制度建设取得突破。2022年底，中心以公开招标方式选择第三方公司艾图内控咨询有限公司完成内控制度建设工作。经过多轮意见征询和修改修订，今年9月份顺利完成内控制度的定稿验收工作。二是队伍转型成效明显。中心开展业务培训鼓励干部职工积极转型，截止目前，中心已有1人获评副主任药师职称，2人取得高级信息系统项目管理师职业证书，2人通过高级政工师考试，1人通过中级政工师考试。三是文明创建持续深入。按照省总工会要求落实全年7个节日及会员生日慰问物资发放；组织工会成员前往株洲醴陵、岳阳洞庭湖开展现地教育；组织党员代表和工会代表前往省局对口扶贫村进行走访慰问；为女性职工购买医疗互助保险与全体会员的大病互助保险。四是积极开展信息报送。中心高度重视信息报送及新闻宣传工作，完善信息报送审批流程，坚决杜绝意识形态危险、机密信息泄露等问题。截止目前，中心报送工作信息10余篇，其中省局官网采用13篇，省局内刊采用2篇。</w:t>
      </w:r>
    </w:p>
    <w:p>
      <w:pPr>
        <w:keepNext w:val="0"/>
        <w:keepLines w:val="0"/>
        <w:pageBreakBefore w:val="0"/>
        <w:wordWrap/>
        <w:overflowPunct/>
        <w:topLinePunct w:val="0"/>
        <w:bidi w:val="0"/>
        <w:adjustRightInd w:val="0"/>
        <w:snapToGrid w:val="0"/>
        <w:spacing w:line="560" w:lineRule="exact"/>
        <w:ind w:right="0" w:rightChars="0" w:firstLine="630"/>
        <w:jc w:val="both"/>
        <w:rPr>
          <w:rFonts w:hint="eastAsia" w:ascii="仿宋" w:hAnsi="仿宋" w:eastAsia="仿宋" w:cs="仿宋"/>
          <w:color w:val="auto"/>
          <w:sz w:val="32"/>
          <w:szCs w:val="32"/>
          <w:shd w:val="clear" w:color="auto" w:fill="FFFFFF"/>
        </w:rPr>
      </w:pPr>
      <w:r>
        <w:rPr>
          <w:rFonts w:hint="eastAsia" w:ascii="仿宋" w:hAnsi="仿宋" w:eastAsia="仿宋" w:cs="仿宋"/>
          <w:b/>
          <w:bCs/>
          <w:color w:val="auto"/>
          <w:sz w:val="32"/>
          <w:szCs w:val="32"/>
          <w:shd w:val="clear" w:color="auto" w:fill="FFFFFF"/>
        </w:rPr>
        <w:t>(四)聚焦主责主业，服务中心大局</w:t>
      </w:r>
      <w:r>
        <w:rPr>
          <w:rFonts w:hint="eastAsia" w:ascii="仿宋" w:hAnsi="仿宋" w:eastAsia="仿宋" w:cs="仿宋"/>
          <w:b/>
          <w:bCs/>
          <w:color w:val="auto"/>
          <w:sz w:val="32"/>
          <w:szCs w:val="32"/>
          <w:shd w:val="clear" w:color="auto" w:fill="FFFFFF"/>
          <w:lang w:eastAsia="zh-CN"/>
        </w:rPr>
        <w:t>。</w:t>
      </w:r>
      <w:r>
        <w:rPr>
          <w:rFonts w:hint="eastAsia" w:ascii="仿宋" w:hAnsi="仿宋" w:eastAsia="仿宋" w:cs="仿宋"/>
          <w:color w:val="auto"/>
          <w:sz w:val="32"/>
          <w:szCs w:val="32"/>
          <w:shd w:val="clear" w:color="auto" w:fill="FFFFFF"/>
        </w:rPr>
        <w:t>1.扎实推进网络商品交易监测工作。一是完善湖南省网络交易市场主体数据和商品数据。在现有监测系统上增加采集了小红书、微店、唯品会、小米有品等国内主流电商交易平台和惠农网、小芒、快乐购、菜卖卖吧、乡村振兴馆、好罗罗等湖南省辖区内电商交易平台的网络市场主体数据和商品数据。截至目前，网监系统采集的网络市场主体总计472624家。二是圆满完成各项专项监测任务。根据省局对长江禁捕、未成年人无底线营销食品、野生动物保护、专供特供、含金银箔粉食品、“军”字号烟酒等商品、医疗美容行业、互联网销售危险化学品、借主题教育搞不当营商活动、虚假认证十个专项监测需求，通过“人工巡检”加“智能检索”相结合的方式，对国内主流电商平台湖南省辖区内的网店进行了监测并使用移动智慧监测终端APP进行了取证固证。全年总计监测到各类涉嫌违法线索825条，相关商品数1381条，取证固证789条。三是高质量完成全省网络交易平台内经营者身份信息统计报送工作。中心对省内的48家平台报送信息进行了填报规则的一对一指导，通过人工的方式对其报送数据进行了完整性和一致性校验，数据质量名列全国第一阵列。全省共报送平台数40家，其中25家是自营平台。四是监测系统建设稳步推进。中心成立工作专班，对凭安征信、美亚柏科、蓝天云三家公司四个专项智能监测模型开展测评和数据对比，向省局23个业务处室及直属事业单位征集了监测需求，并由李沐副局长主持召开了全省网络交易监测工作及监测系统建设调研座谈会，共征集到19个专项监测需求，完成了项目建设的前期工作。</w:t>
      </w:r>
    </w:p>
    <w:p>
      <w:pPr>
        <w:keepNext w:val="0"/>
        <w:keepLines w:val="0"/>
        <w:pageBreakBefore w:val="0"/>
        <w:wordWrap/>
        <w:overflowPunct/>
        <w:topLinePunct w:val="0"/>
        <w:bidi w:val="0"/>
        <w:adjustRightInd w:val="0"/>
        <w:snapToGrid w:val="0"/>
        <w:spacing w:line="560" w:lineRule="exact"/>
        <w:ind w:right="0" w:rightChars="0" w:firstLine="630"/>
        <w:jc w:val="both"/>
        <w:rPr>
          <w:rFonts w:hint="eastAsia" w:ascii="仿宋" w:hAnsi="仿宋" w:eastAsia="仿宋" w:cs="仿宋"/>
          <w:color w:val="auto"/>
          <w:sz w:val="32"/>
          <w:szCs w:val="32"/>
          <w:shd w:val="clear" w:color="auto" w:fill="FFFFFF"/>
        </w:rPr>
      </w:pPr>
      <w:r>
        <w:rPr>
          <w:rFonts w:hint="eastAsia" w:ascii="仿宋" w:hAnsi="仿宋" w:eastAsia="仿宋" w:cs="仿宋"/>
          <w:color w:val="auto"/>
          <w:sz w:val="32"/>
          <w:szCs w:val="32"/>
          <w:shd w:val="clear" w:color="auto" w:fill="FFFFFF"/>
        </w:rPr>
        <w:t>2.务实开展广告监测工作。一是认真开展监测数据核对和问题研判工作。通过重点核对媒体排名、市州总体排名、广告类别排名、涉嫌违法线索处理情况、主要涉嫌违法表现汇总，各类监测数据统计的条数、条次、时长信息是否准确等工作及时发现问题并进行研判，确保涉嫌违法线索派发的时效性。二是顺利开展广告专项监测工作。2023年网监中心开展了年关守护、民生领域案件查办“铁拳”行动、3.15国际消费者日、涉疫物资广告、非医学需要选择胎儿性别广告、知识产权领域虚假违法广告、整治假国企、互联网广告领域治理、防范和制止借学习贯彻习近平新时代中国特色社会主义思想主题教育搞不当营商活动、虚假认证等10个专项行动，着力清除违法广告乱象。不断巩固医疗美容行业专项治理工作成效，建立常态化监测机制，为医美行业的健康规范发展提供持续助力，医美行业监测广告1129条数、36209条次，涉嫌违法85条数、3997条次。三是强化对监测机构的管理。中心每季度与蓝天云、星华科技、北京鸿蒙召开季度例会，针对广告监测期间发现的问题深入沟通讨论，列出问题清单并督促其整改。同时对传统媒体出现监测中断、广告监测数据错误、涉嫌违法线索审读有误等问题，要求监测公司对传统媒体平台功能完善、统计报表的规范进行指导。</w:t>
      </w:r>
    </w:p>
    <w:p>
      <w:pPr>
        <w:keepNext w:val="0"/>
        <w:keepLines w:val="0"/>
        <w:pageBreakBefore w:val="0"/>
        <w:wordWrap/>
        <w:overflowPunct/>
        <w:topLinePunct w:val="0"/>
        <w:bidi w:val="0"/>
        <w:adjustRightInd w:val="0"/>
        <w:snapToGrid w:val="0"/>
        <w:spacing w:line="560" w:lineRule="exact"/>
        <w:ind w:right="0" w:rightChars="0"/>
        <w:jc w:val="both"/>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七</w:t>
      </w:r>
      <w:r>
        <w:rPr>
          <w:rFonts w:hint="eastAsia" w:ascii="仿宋" w:hAnsi="仿宋" w:eastAsia="仿宋" w:cs="仿宋"/>
          <w:b/>
          <w:bCs/>
          <w:color w:val="auto"/>
          <w:sz w:val="32"/>
          <w:szCs w:val="32"/>
        </w:rPr>
        <w:t>、存在的问题及原因分析</w:t>
      </w:r>
    </w:p>
    <w:p>
      <w:pPr>
        <w:pStyle w:val="3"/>
        <w:spacing w:line="600" w:lineRule="exact"/>
        <w:ind w:firstLine="480"/>
        <w:rPr>
          <w:rFonts w:hint="eastAsia" w:ascii="楷体" w:hAnsi="楷体" w:eastAsia="楷体" w:cs="黑体"/>
          <w:b/>
          <w:bCs/>
          <w:sz w:val="32"/>
          <w:szCs w:val="32"/>
        </w:rPr>
      </w:pPr>
      <w:r>
        <w:rPr>
          <w:rFonts w:hint="eastAsia" w:ascii="楷体" w:hAnsi="楷体" w:eastAsia="楷体" w:cs="黑体"/>
          <w:b/>
          <w:bCs/>
          <w:sz w:val="32"/>
          <w:szCs w:val="32"/>
        </w:rPr>
        <w:t>（一）监测系统建设亟待启动</w:t>
      </w:r>
    </w:p>
    <w:p>
      <w:pPr>
        <w:pStyle w:val="3"/>
        <w:spacing w:line="600" w:lineRule="exact"/>
        <w:ind w:firstLine="480"/>
        <w:rPr>
          <w:rFonts w:hint="eastAsia" w:ascii="Times New Roman" w:hAnsi="Times New Roman" w:eastAsia="仿宋"/>
          <w:sz w:val="32"/>
          <w:szCs w:val="32"/>
        </w:rPr>
      </w:pPr>
      <w:r>
        <w:rPr>
          <w:rFonts w:hint="eastAsia" w:ascii="Times New Roman" w:hAnsi="Times New Roman" w:eastAsia="仿宋"/>
          <w:sz w:val="32"/>
          <w:szCs w:val="32"/>
        </w:rPr>
        <w:t>中心成立了2年多，仍然没有真正意义上的监测工具。一直使用省局的网络监管系统采用人工对网上海量数据搜素违法线索的方式开展监测，该系统存在数据底座不全、无移动端监测功能、智能化监测水平很低、不能线上线下一体化联动、无多方共治监管体系、无取证固证功能。海量数据的筛选、甄别，工作效率极低，实效性较差。无法实现对日新月异的网络经济发展出现的新业态、新模式的全面监测，对直播带货、真假货混卖、质量不合格等问题的监测很难完成，移动端交易成为监测“盲区”。2023年省局拨款300万用于启动省局网络监测系统第一期建设，但由于省局2023年信息化项目整体无法立项，导致系统建设无法启动。</w:t>
      </w:r>
    </w:p>
    <w:p>
      <w:pPr>
        <w:pStyle w:val="3"/>
        <w:numPr>
          <w:ilvl w:val="0"/>
          <w:numId w:val="5"/>
        </w:numPr>
        <w:spacing w:line="600" w:lineRule="exact"/>
        <w:ind w:firstLine="480"/>
        <w:rPr>
          <w:rFonts w:hint="eastAsia" w:ascii="楷体" w:hAnsi="楷体" w:eastAsia="楷体" w:cs="黑体"/>
          <w:b/>
          <w:bCs/>
          <w:sz w:val="32"/>
          <w:szCs w:val="32"/>
        </w:rPr>
      </w:pPr>
      <w:r>
        <w:rPr>
          <w:rFonts w:hint="eastAsia" w:ascii="楷体" w:hAnsi="楷体" w:eastAsia="楷体" w:cs="黑体"/>
          <w:b/>
          <w:bCs/>
          <w:sz w:val="32"/>
          <w:szCs w:val="32"/>
        </w:rPr>
        <w:t>干部队伍建设有待优化</w:t>
      </w:r>
    </w:p>
    <w:p>
      <w:pPr>
        <w:pStyle w:val="3"/>
        <w:spacing w:line="600" w:lineRule="exact"/>
        <w:ind w:firstLine="480"/>
        <w:rPr>
          <w:rFonts w:hint="eastAsia" w:ascii="Times New Roman" w:hAnsi="Times New Roman" w:eastAsia="仿宋"/>
          <w:sz w:val="32"/>
          <w:szCs w:val="32"/>
        </w:rPr>
      </w:pPr>
      <w:r>
        <w:rPr>
          <w:rFonts w:hint="eastAsia" w:ascii="Times New Roman" w:hAnsi="Times New Roman" w:eastAsia="仿宋"/>
          <w:sz w:val="32"/>
          <w:szCs w:val="32"/>
        </w:rPr>
        <w:t>目前中心在编在岗人员19人，班子超配1人，正科级干部超配5人，管理人员多，专技人员极少（1个），目前人均年龄50岁，50岁以上人员11人，编制消超约需4年，真正实现人岗相适约需10年时间。加上今年3月省局将车辆归返，由于中心无专职司机，车辆运行维护及出行安全保障亟需解决。</w:t>
      </w:r>
    </w:p>
    <w:p>
      <w:pPr>
        <w:pStyle w:val="3"/>
        <w:spacing w:line="600" w:lineRule="exact"/>
        <w:ind w:firstLine="480"/>
        <w:rPr>
          <w:rFonts w:hint="eastAsia" w:ascii="楷体" w:hAnsi="楷体" w:eastAsia="楷体" w:cs="黑体"/>
          <w:b/>
          <w:bCs/>
          <w:sz w:val="32"/>
          <w:szCs w:val="32"/>
        </w:rPr>
      </w:pPr>
      <w:r>
        <w:rPr>
          <w:rFonts w:hint="eastAsia" w:ascii="楷体" w:hAnsi="楷体" w:eastAsia="楷体" w:cs="黑体"/>
          <w:b/>
          <w:bCs/>
          <w:sz w:val="32"/>
          <w:szCs w:val="32"/>
        </w:rPr>
        <w:t>（三）改革遗留问题有待解决</w:t>
      </w:r>
    </w:p>
    <w:p>
      <w:pPr>
        <w:pStyle w:val="3"/>
        <w:spacing w:line="600" w:lineRule="exact"/>
        <w:ind w:firstLine="480"/>
        <w:rPr>
          <w:rFonts w:hint="eastAsia" w:ascii="Times New Roman" w:hAnsi="Times New Roman" w:eastAsia="仿宋"/>
          <w:sz w:val="32"/>
          <w:szCs w:val="32"/>
        </w:rPr>
      </w:pPr>
      <w:r>
        <w:rPr>
          <w:rFonts w:hint="eastAsia" w:ascii="Times New Roman" w:hAnsi="Times New Roman" w:eastAsia="仿宋"/>
          <w:sz w:val="32"/>
          <w:szCs w:val="32"/>
        </w:rPr>
        <w:t>一是事业单位绩效方案一直尚未出台，导致2021年以来在职干部和离退休干部绩效一直预发；二是2017年以来提拔的1名正处、3名</w:t>
      </w:r>
      <w:r>
        <w:rPr>
          <w:rFonts w:hint="eastAsia" w:ascii="Times New Roman" w:hAnsi="Times New Roman" w:eastAsia="仿宋"/>
          <w:sz w:val="32"/>
          <w:szCs w:val="32"/>
          <w:lang w:eastAsia="zh-CN"/>
        </w:rPr>
        <w:t>副</w:t>
      </w:r>
      <w:r>
        <w:rPr>
          <w:rFonts w:hint="eastAsia" w:ascii="Times New Roman" w:hAnsi="Times New Roman" w:eastAsia="仿宋"/>
          <w:sz w:val="32"/>
          <w:szCs w:val="32"/>
        </w:rPr>
        <w:t>处等工作人员提职未提薪，存在工资住房公积金、养老金等福利长期拖欠的问题。三是离退休人员诉求多、思想波动大，老干服务压力大。</w:t>
      </w:r>
    </w:p>
    <w:p>
      <w:pPr>
        <w:keepNext w:val="0"/>
        <w:keepLines w:val="0"/>
        <w:pageBreakBefore w:val="0"/>
        <w:numPr>
          <w:ilvl w:val="0"/>
          <w:numId w:val="0"/>
        </w:numPr>
        <w:wordWrap/>
        <w:overflowPunct/>
        <w:topLinePunct w:val="0"/>
        <w:bidi w:val="0"/>
        <w:adjustRightInd w:val="0"/>
        <w:snapToGrid w:val="0"/>
        <w:spacing w:line="560" w:lineRule="exact"/>
        <w:ind w:right="0" w:rightChars="0"/>
        <w:jc w:val="both"/>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八、</w:t>
      </w:r>
      <w:r>
        <w:rPr>
          <w:rFonts w:hint="eastAsia" w:ascii="仿宋" w:hAnsi="仿宋" w:eastAsia="仿宋" w:cs="仿宋"/>
          <w:b/>
          <w:bCs/>
          <w:color w:val="auto"/>
          <w:sz w:val="32"/>
          <w:szCs w:val="32"/>
        </w:rPr>
        <w:t>下一步改进措施</w:t>
      </w:r>
    </w:p>
    <w:p>
      <w:pPr>
        <w:pStyle w:val="16"/>
        <w:keepNext w:val="0"/>
        <w:keepLines w:val="0"/>
        <w:pageBreakBefore w:val="0"/>
        <w:wordWrap/>
        <w:overflowPunct/>
        <w:topLinePunct w:val="0"/>
        <w:bidi w:val="0"/>
        <w:adjustRightInd w:val="0"/>
        <w:snapToGrid w:val="0"/>
        <w:spacing w:line="560" w:lineRule="exact"/>
        <w:ind w:left="0" w:leftChars="0" w:right="0" w:rightChars="0" w:firstLine="640" w:firstLineChars="200"/>
        <w:jc w:val="both"/>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加强预算编制管理，科学规划预算编制工作，进一步提高预算编制的科学性、合理性、严谨性和可控性；加强项目支出调度，加强项目开展事前事中事后的跟踪和支出进度的控制，开展项目绩效评价，科学、合理安排支出项目。</w:t>
      </w:r>
    </w:p>
    <w:p>
      <w:pPr>
        <w:keepNext w:val="0"/>
        <w:keepLines w:val="0"/>
        <w:pageBreakBefore w:val="0"/>
        <w:wordWrap/>
        <w:overflowPunct/>
        <w:topLinePunct w:val="0"/>
        <w:bidi w:val="0"/>
        <w:adjustRightInd w:val="0"/>
        <w:snapToGrid w:val="0"/>
        <w:spacing w:line="560" w:lineRule="exact"/>
        <w:ind w:right="0" w:rightChars="0" w:firstLine="640" w:firstLineChars="200"/>
        <w:jc w:val="both"/>
        <w:rPr>
          <w:rFonts w:hint="eastAsia" w:ascii="仿宋" w:hAnsi="仿宋" w:eastAsia="仿宋" w:cs="仿宋"/>
          <w:b/>
          <w:bCs/>
          <w:color w:val="FF0000"/>
          <w:sz w:val="32"/>
          <w:szCs w:val="32"/>
        </w:rPr>
      </w:pPr>
      <w:r>
        <w:rPr>
          <w:rFonts w:hint="eastAsia" w:ascii="仿宋" w:hAnsi="仿宋" w:eastAsia="仿宋" w:cs="仿宋"/>
          <w:i w:val="0"/>
          <w:caps w:val="0"/>
          <w:color w:val="auto"/>
          <w:spacing w:val="0"/>
          <w:sz w:val="32"/>
          <w:szCs w:val="32"/>
          <w:shd w:val="clear" w:color="auto" w:fill="FFFFFF"/>
          <w:lang w:val="en-US" w:eastAsia="zh-CN"/>
        </w:rPr>
        <w:t>2、</w:t>
      </w:r>
      <w:r>
        <w:rPr>
          <w:rFonts w:hint="eastAsia" w:ascii="仿宋" w:hAnsi="仿宋" w:eastAsia="仿宋" w:cs="仿宋"/>
          <w:i w:val="0"/>
          <w:caps w:val="0"/>
          <w:color w:val="auto"/>
          <w:spacing w:val="0"/>
          <w:sz w:val="32"/>
          <w:szCs w:val="32"/>
          <w:shd w:val="clear" w:color="auto" w:fill="FFFFFF"/>
        </w:rPr>
        <w:t>严格执行财务管理制度。严格执行中央和上级有关部门出台的财经纪律相关规定，严控"三公经费"、会议费、培训费、差旅费等支出。严格报账程序，严把票据审核关。认真做好会计核算，做到账账相符、账实相符。强化内控建设，防范防控岗位风险,确保各项工作有序运转</w:t>
      </w:r>
      <w:r>
        <w:rPr>
          <w:rFonts w:hint="eastAsia" w:ascii="仿宋" w:hAnsi="仿宋" w:eastAsia="仿宋" w:cs="仿宋"/>
          <w:i w:val="0"/>
          <w:caps w:val="0"/>
          <w:color w:val="auto"/>
          <w:spacing w:val="0"/>
          <w:sz w:val="32"/>
          <w:szCs w:val="32"/>
          <w:shd w:val="clear" w:color="auto" w:fill="FFFFFF"/>
          <w:lang w:eastAsia="zh-CN"/>
        </w:rPr>
        <w:t>。</w:t>
      </w:r>
      <w:r>
        <w:rPr>
          <w:rFonts w:hint="eastAsia" w:ascii="仿宋" w:hAnsi="仿宋" w:eastAsia="仿宋" w:cs="仿宋"/>
          <w:i w:val="0"/>
          <w:caps w:val="0"/>
          <w:color w:val="auto"/>
          <w:spacing w:val="0"/>
          <w:sz w:val="32"/>
          <w:szCs w:val="32"/>
          <w:shd w:val="clear" w:color="auto" w:fill="FFFFFF"/>
        </w:rPr>
        <w:br w:type="textWrapping"/>
      </w:r>
      <w:r>
        <w:rPr>
          <w:rFonts w:hint="eastAsia" w:ascii="仿宋" w:hAnsi="仿宋" w:eastAsia="仿宋" w:cs="仿宋"/>
          <w:i w:val="0"/>
          <w:caps w:val="0"/>
          <w:color w:val="auto"/>
          <w:spacing w:val="0"/>
          <w:sz w:val="32"/>
          <w:szCs w:val="32"/>
          <w:shd w:val="clear" w:color="auto" w:fill="FFFFFF"/>
          <w:lang w:val="en-US" w:eastAsia="zh-CN"/>
        </w:rPr>
        <w:t xml:space="preserve">    3</w:t>
      </w:r>
      <w:r>
        <w:rPr>
          <w:rFonts w:hint="eastAsia" w:ascii="仿宋" w:hAnsi="仿宋" w:eastAsia="仿宋" w:cs="仿宋"/>
          <w:i w:val="0"/>
          <w:caps w:val="0"/>
          <w:color w:val="auto"/>
          <w:spacing w:val="0"/>
          <w:sz w:val="32"/>
          <w:szCs w:val="32"/>
          <w:shd w:val="clear" w:color="auto" w:fill="FFFFFF"/>
        </w:rPr>
        <w:t>.加强政府采购管理。严格按照《政府采购法》和《政府采购法实施条例》等相关管理规定，根据省采购目录和财政部门预算管理要求，编制政府采购计划，将采购项目全部纳入部门预算管理。采购前,各</w:t>
      </w:r>
      <w:r>
        <w:rPr>
          <w:rFonts w:hint="eastAsia" w:ascii="仿宋" w:hAnsi="仿宋" w:eastAsia="仿宋" w:cs="仿宋"/>
          <w:i w:val="0"/>
          <w:caps w:val="0"/>
          <w:color w:val="auto"/>
          <w:spacing w:val="0"/>
          <w:sz w:val="32"/>
          <w:szCs w:val="32"/>
          <w:shd w:val="clear" w:color="auto" w:fill="FFFFFF"/>
          <w:lang w:eastAsia="zh-CN"/>
        </w:rPr>
        <w:t>部门</w:t>
      </w:r>
      <w:r>
        <w:rPr>
          <w:rFonts w:hint="eastAsia" w:ascii="仿宋" w:hAnsi="仿宋" w:eastAsia="仿宋" w:cs="仿宋"/>
          <w:i w:val="0"/>
          <w:caps w:val="0"/>
          <w:color w:val="auto"/>
          <w:spacing w:val="0"/>
          <w:sz w:val="32"/>
          <w:szCs w:val="32"/>
          <w:shd w:val="clear" w:color="auto" w:fill="FFFFFF"/>
        </w:rPr>
        <w:t>做好相关事前沟通,做好采购政策咨询，了解相关业务规范；采购中,合理选择采购方式，确保采购流程合理合规，做好采购项目信息的公开公示工作；采购后,抓好采购项目的监管工作，严把质量关力求实效。</w:t>
      </w:r>
      <w:r>
        <w:rPr>
          <w:rFonts w:hint="eastAsia" w:ascii="仿宋" w:hAnsi="仿宋" w:eastAsia="仿宋" w:cs="仿宋"/>
          <w:i w:val="0"/>
          <w:caps w:val="0"/>
          <w:color w:val="auto"/>
          <w:spacing w:val="0"/>
          <w:sz w:val="32"/>
          <w:szCs w:val="32"/>
          <w:shd w:val="clear" w:color="auto" w:fill="FFFFFF"/>
        </w:rPr>
        <w:br w:type="textWrapping"/>
      </w:r>
      <w:r>
        <w:rPr>
          <w:rFonts w:hint="eastAsia" w:ascii="仿宋" w:hAnsi="仿宋" w:eastAsia="仿宋" w:cs="仿宋"/>
          <w:i w:val="0"/>
          <w:caps w:val="0"/>
          <w:color w:val="auto"/>
          <w:spacing w:val="0"/>
          <w:sz w:val="32"/>
          <w:szCs w:val="32"/>
          <w:shd w:val="clear" w:color="auto" w:fill="FFFFFF"/>
          <w:lang w:val="en-US" w:eastAsia="zh-CN"/>
        </w:rPr>
        <w:t xml:space="preserve">    4</w:t>
      </w:r>
      <w:r>
        <w:rPr>
          <w:rFonts w:hint="eastAsia" w:ascii="仿宋" w:hAnsi="仿宋" w:eastAsia="仿宋" w:cs="仿宋"/>
          <w:i w:val="0"/>
          <w:caps w:val="0"/>
          <w:color w:val="auto"/>
          <w:spacing w:val="0"/>
          <w:sz w:val="32"/>
          <w:szCs w:val="32"/>
          <w:shd w:val="clear" w:color="auto" w:fill="FFFFFF"/>
        </w:rPr>
        <w:t>.加强固定资产管理。严格按照</w:t>
      </w:r>
      <w:r>
        <w:rPr>
          <w:rFonts w:hint="eastAsia" w:ascii="仿宋" w:hAnsi="仿宋" w:eastAsia="仿宋" w:cs="仿宋"/>
          <w:i w:val="0"/>
          <w:caps w:val="0"/>
          <w:color w:val="auto"/>
          <w:spacing w:val="0"/>
          <w:sz w:val="32"/>
          <w:szCs w:val="32"/>
          <w:shd w:val="clear" w:color="auto" w:fill="FFFFFF"/>
          <w:lang w:eastAsia="zh-CN"/>
        </w:rPr>
        <w:t>湖南省</w:t>
      </w:r>
      <w:r>
        <w:rPr>
          <w:rFonts w:hint="eastAsia" w:ascii="仿宋" w:hAnsi="仿宋" w:eastAsia="仿宋" w:cs="仿宋"/>
          <w:i w:val="0"/>
          <w:caps w:val="0"/>
          <w:color w:val="auto"/>
          <w:spacing w:val="0"/>
          <w:sz w:val="32"/>
          <w:szCs w:val="32"/>
          <w:shd w:val="clear" w:color="auto" w:fill="FFFFFF"/>
        </w:rPr>
        <w:t>财政</w:t>
      </w:r>
      <w:r>
        <w:rPr>
          <w:rFonts w:hint="eastAsia" w:ascii="仿宋" w:hAnsi="仿宋" w:eastAsia="仿宋" w:cs="仿宋"/>
          <w:i w:val="0"/>
          <w:caps w:val="0"/>
          <w:color w:val="auto"/>
          <w:spacing w:val="0"/>
          <w:sz w:val="32"/>
          <w:szCs w:val="32"/>
          <w:shd w:val="clear" w:color="auto" w:fill="FFFFFF"/>
          <w:lang w:eastAsia="zh-CN"/>
        </w:rPr>
        <w:t>厅关于印发《湖南省省级行政事业单位通用办公设备和办公家具配置限额标准》的通知执行配置，</w:t>
      </w:r>
      <w:r>
        <w:rPr>
          <w:rFonts w:hint="eastAsia" w:ascii="仿宋" w:hAnsi="仿宋" w:eastAsia="仿宋" w:cs="仿宋"/>
          <w:i w:val="0"/>
          <w:caps w:val="0"/>
          <w:color w:val="auto"/>
          <w:spacing w:val="0"/>
          <w:sz w:val="32"/>
          <w:szCs w:val="32"/>
          <w:shd w:val="clear" w:color="auto" w:fill="FFFFFF"/>
        </w:rPr>
        <w:t>做好固定资产采买、报废、调整等相关管理工作</w:t>
      </w:r>
      <w:r>
        <w:rPr>
          <w:rFonts w:hint="eastAsia" w:ascii="仿宋" w:hAnsi="仿宋" w:eastAsia="仿宋" w:cs="仿宋"/>
          <w:i w:val="0"/>
          <w:caps w:val="0"/>
          <w:color w:val="auto"/>
          <w:spacing w:val="0"/>
          <w:sz w:val="32"/>
          <w:szCs w:val="32"/>
          <w:shd w:val="clear" w:color="auto" w:fill="FFFFFF"/>
          <w:lang w:eastAsia="zh-CN"/>
        </w:rPr>
        <w:t>，</w:t>
      </w:r>
      <w:r>
        <w:rPr>
          <w:rFonts w:hint="eastAsia" w:ascii="仿宋" w:hAnsi="仿宋" w:eastAsia="仿宋" w:cs="仿宋"/>
          <w:i w:val="0"/>
          <w:caps w:val="0"/>
          <w:color w:val="auto"/>
          <w:spacing w:val="0"/>
          <w:sz w:val="32"/>
          <w:szCs w:val="32"/>
          <w:shd w:val="clear" w:color="auto" w:fill="FFFFFF"/>
        </w:rPr>
        <w:t>部门资产录入固定资产管理系统,建立资产管理卡片,及时更新资产管理信息系统数据，做到账实相符、账卡相符。</w:t>
      </w:r>
      <w:r>
        <w:rPr>
          <w:rFonts w:hint="eastAsia" w:ascii="仿宋" w:hAnsi="仿宋" w:eastAsia="仿宋" w:cs="仿宋"/>
          <w:i w:val="0"/>
          <w:caps w:val="0"/>
          <w:color w:val="auto"/>
          <w:spacing w:val="0"/>
          <w:sz w:val="32"/>
          <w:szCs w:val="32"/>
          <w:shd w:val="clear" w:color="auto" w:fill="FFFFFF"/>
        </w:rPr>
        <w:br w:type="textWrapping"/>
      </w:r>
      <w:r>
        <w:rPr>
          <w:rFonts w:hint="eastAsia" w:ascii="仿宋" w:hAnsi="仿宋" w:eastAsia="仿宋" w:cs="仿宋"/>
          <w:b/>
          <w:bCs/>
          <w:color w:val="auto"/>
          <w:sz w:val="32"/>
          <w:szCs w:val="32"/>
        </w:rPr>
        <w:t>九、单位整体支出绩效自评结果拟应用和公开情况</w:t>
      </w:r>
    </w:p>
    <w:p>
      <w:pPr>
        <w:keepNext w:val="0"/>
        <w:keepLines w:val="0"/>
        <w:pageBreakBefore w:val="0"/>
        <w:wordWrap/>
        <w:overflowPunct/>
        <w:topLinePunct w:val="0"/>
        <w:bidi w:val="0"/>
        <w:adjustRightInd w:val="0"/>
        <w:snapToGrid w:val="0"/>
        <w:spacing w:line="560" w:lineRule="exact"/>
        <w:ind w:right="0" w:rightChars="0" w:firstLine="640" w:firstLineChars="200"/>
        <w:jc w:val="both"/>
        <w:rPr>
          <w:rFonts w:hint="eastAsia" w:ascii="仿宋" w:hAnsi="仿宋" w:eastAsia="仿宋" w:cs="仿宋"/>
          <w:color w:val="auto"/>
          <w:sz w:val="32"/>
          <w:szCs w:val="32"/>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年中心严格按照年</w:t>
      </w:r>
      <w:r>
        <w:rPr>
          <w:rFonts w:hint="eastAsia" w:ascii="仿宋" w:hAnsi="仿宋" w:eastAsia="仿宋" w:cs="仿宋"/>
          <w:color w:val="auto"/>
          <w:sz w:val="32"/>
          <w:szCs w:val="32"/>
          <w:lang w:eastAsia="zh-CN"/>
        </w:rPr>
        <w:t>初</w:t>
      </w:r>
      <w:r>
        <w:rPr>
          <w:rFonts w:hint="eastAsia" w:ascii="仿宋" w:hAnsi="仿宋" w:eastAsia="仿宋" w:cs="仿宋"/>
          <w:color w:val="auto"/>
          <w:sz w:val="32"/>
          <w:szCs w:val="32"/>
        </w:rPr>
        <w:t>预算批复认真组织实施,严格执行财政相关管理规定，确保了单位正常运行，较好地完成了202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年部门预算编制和决算汇总工作，单位整体支出绩效目标实现较好，全面完成绩效目标任务，绩效自评结果为良好。</w:t>
      </w:r>
    </w:p>
    <w:p>
      <w:pPr>
        <w:keepNext w:val="0"/>
        <w:keepLines w:val="0"/>
        <w:pageBreakBefore w:val="0"/>
        <w:wordWrap/>
        <w:overflowPunct/>
        <w:topLinePunct w:val="0"/>
        <w:bidi w:val="0"/>
        <w:adjustRightInd w:val="0"/>
        <w:snapToGrid w:val="0"/>
        <w:spacing w:line="560" w:lineRule="exact"/>
        <w:ind w:right="0" w:rightChars="0" w:firstLine="640" w:firstLineChars="200"/>
        <w:jc w:val="both"/>
        <w:rPr>
          <w:rFonts w:hint="eastAsia" w:ascii="仿宋" w:hAnsi="仿宋" w:eastAsia="仿宋" w:cs="仿宋"/>
          <w:color w:val="auto"/>
          <w:sz w:val="32"/>
          <w:szCs w:val="32"/>
        </w:rPr>
      </w:pPr>
      <w:r>
        <w:rPr>
          <w:rFonts w:hint="eastAsia" w:ascii="仿宋" w:hAnsi="仿宋" w:eastAsia="仿宋" w:cs="仿宋"/>
          <w:color w:val="auto"/>
          <w:sz w:val="32"/>
          <w:szCs w:val="32"/>
        </w:rPr>
        <w:t>按文件要求在指定网站上公开。</w:t>
      </w:r>
    </w:p>
    <w:p>
      <w:pPr>
        <w:keepNext w:val="0"/>
        <w:keepLines w:val="0"/>
        <w:pageBreakBefore w:val="0"/>
        <w:widowControl/>
        <w:wordWrap/>
        <w:overflowPunct/>
        <w:topLinePunct w:val="0"/>
        <w:bidi w:val="0"/>
        <w:adjustRightInd w:val="0"/>
        <w:snapToGrid w:val="0"/>
        <w:spacing w:line="560" w:lineRule="exact"/>
        <w:ind w:right="0" w:rightChars="0"/>
        <w:jc w:val="both"/>
        <w:rPr>
          <w:rFonts w:hint="eastAsia" w:ascii="仿宋" w:hAnsi="仿宋" w:eastAsia="仿宋" w:cs="仿宋"/>
          <w:b/>
          <w:bCs/>
          <w:sz w:val="32"/>
          <w:szCs w:val="32"/>
        </w:rPr>
      </w:pPr>
      <w:r>
        <w:rPr>
          <w:rFonts w:hint="eastAsia" w:ascii="仿宋" w:hAnsi="仿宋" w:eastAsia="仿宋" w:cs="仿宋"/>
          <w:b/>
          <w:bCs/>
          <w:sz w:val="32"/>
          <w:szCs w:val="32"/>
        </w:rPr>
        <w:t>十、其他需要说明的情况</w:t>
      </w:r>
    </w:p>
    <w:p>
      <w:pPr>
        <w:keepNext w:val="0"/>
        <w:keepLines w:val="0"/>
        <w:pageBreakBefore w:val="0"/>
        <w:widowControl/>
        <w:wordWrap/>
        <w:overflowPunct/>
        <w:topLinePunct w:val="0"/>
        <w:bidi w:val="0"/>
        <w:adjustRightInd w:val="0"/>
        <w:snapToGrid w:val="0"/>
        <w:spacing w:line="560" w:lineRule="exact"/>
        <w:ind w:right="0" w:righ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无</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p>
    <w:p>
      <w:pPr>
        <w:spacing w:before="104" w:line="424" w:lineRule="exact"/>
        <w:rPr>
          <w:rFonts w:ascii="Times New Roman" w:hAnsi="Times New Roman" w:eastAsia="Times New Roman" w:cs="Times New Roman"/>
          <w:spacing w:val="-26"/>
          <w:position w:val="1"/>
          <w:sz w:val="32"/>
          <w:szCs w:val="32"/>
        </w:rPr>
      </w:pPr>
      <w:r>
        <w:rPr>
          <w:rFonts w:ascii="黑体" w:hAnsi="黑体" w:eastAsia="黑体" w:cs="黑体"/>
          <w:spacing w:val="-27"/>
          <w:position w:val="1"/>
          <w:sz w:val="32"/>
          <w:szCs w:val="32"/>
        </w:rPr>
        <w:t>附</w:t>
      </w:r>
      <w:r>
        <w:rPr>
          <w:rFonts w:ascii="黑体" w:hAnsi="黑体" w:eastAsia="黑体" w:cs="黑体"/>
          <w:spacing w:val="-26"/>
          <w:position w:val="1"/>
          <w:sz w:val="32"/>
          <w:szCs w:val="32"/>
        </w:rPr>
        <w:t>件</w:t>
      </w:r>
      <w:r>
        <w:rPr>
          <w:rFonts w:ascii="Times New Roman" w:hAnsi="Times New Roman" w:eastAsia="Times New Roman" w:cs="Times New Roman"/>
          <w:spacing w:val="-26"/>
          <w:position w:val="1"/>
          <w:sz w:val="32"/>
          <w:szCs w:val="32"/>
        </w:rPr>
        <w:t>2</w:t>
      </w:r>
    </w:p>
    <w:p>
      <w:pPr>
        <w:spacing w:before="104" w:line="424" w:lineRule="exact"/>
        <w:jc w:val="center"/>
        <w:rPr>
          <w:rFonts w:ascii="微软雅黑" w:hAnsi="微软雅黑" w:eastAsia="微软雅黑" w:cs="微软雅黑"/>
          <w:spacing w:val="-11"/>
          <w:sz w:val="44"/>
          <w:szCs w:val="44"/>
        </w:rPr>
      </w:pPr>
    </w:p>
    <w:p>
      <w:pPr>
        <w:spacing w:before="104" w:line="424" w:lineRule="exact"/>
        <w:jc w:val="center"/>
        <w:rPr>
          <w:rFonts w:ascii="微软雅黑" w:hAnsi="微软雅黑" w:eastAsia="微软雅黑" w:cs="微软雅黑"/>
          <w:spacing w:val="-8"/>
          <w:sz w:val="44"/>
          <w:szCs w:val="44"/>
        </w:rPr>
      </w:pPr>
      <w:r>
        <w:rPr>
          <w:rFonts w:ascii="微软雅黑" w:hAnsi="微软雅黑" w:eastAsia="微软雅黑" w:cs="微软雅黑"/>
          <w:spacing w:val="-11"/>
          <w:sz w:val="44"/>
          <w:szCs w:val="44"/>
        </w:rPr>
        <w:t>2</w:t>
      </w:r>
      <w:r>
        <w:rPr>
          <w:rFonts w:ascii="微软雅黑" w:hAnsi="微软雅黑" w:eastAsia="微软雅黑" w:cs="微软雅黑"/>
          <w:spacing w:val="-8"/>
          <w:sz w:val="44"/>
          <w:szCs w:val="44"/>
        </w:rPr>
        <w:t>02</w:t>
      </w:r>
      <w:r>
        <w:rPr>
          <w:rFonts w:hint="eastAsia" w:ascii="微软雅黑" w:hAnsi="微软雅黑" w:eastAsia="微软雅黑" w:cs="微软雅黑"/>
          <w:spacing w:val="-8"/>
          <w:sz w:val="44"/>
          <w:szCs w:val="44"/>
          <w:lang w:val="en-US" w:eastAsia="zh-CN"/>
        </w:rPr>
        <w:t>3</w:t>
      </w:r>
      <w:r>
        <w:rPr>
          <w:rFonts w:ascii="微软雅黑" w:hAnsi="微软雅黑" w:eastAsia="微软雅黑" w:cs="微软雅黑"/>
          <w:spacing w:val="-8"/>
          <w:sz w:val="44"/>
          <w:szCs w:val="44"/>
        </w:rPr>
        <w:t>年度单位整体支出绩效评价基础数据表</w:t>
      </w:r>
    </w:p>
    <w:tbl>
      <w:tblPr>
        <w:tblStyle w:val="11"/>
        <w:tblW w:w="9673" w:type="dxa"/>
        <w:jc w:val="center"/>
        <w:tblInd w:w="0" w:type="dxa"/>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Layout w:type="fixed"/>
          <w:tblCellMar>
            <w:top w:w="0" w:type="dxa"/>
            <w:left w:w="108" w:type="dxa"/>
            <w:bottom w:w="0" w:type="dxa"/>
            <w:right w:w="108" w:type="dxa"/>
          </w:tblCellMar>
        </w:tblPrEx>
        <w:trPr>
          <w:jc w:val="center"/>
        </w:trPr>
        <w:tc>
          <w:tcPr>
            <w:tcW w:w="3354"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Times New Roman" w:hAnsi="Times New Roman" w:eastAsia="仿宋_GB2312" w:cs="Times New Roman"/>
                <w:b/>
                <w:bCs/>
                <w:sz w:val="20"/>
                <w:szCs w:val="20"/>
              </w:rPr>
            </w:pPr>
            <w:r>
              <w:rPr>
                <w:rFonts w:ascii="Times New Roman" w:hAnsi="Times New Roman" w:eastAsia="仿宋_GB2312" w:cs="Times New Roman"/>
                <w:b/>
                <w:bCs/>
                <w:sz w:val="20"/>
                <w:szCs w:val="20"/>
              </w:rPr>
              <w:t>编制数</w:t>
            </w:r>
          </w:p>
        </w:tc>
        <w:tc>
          <w:tcPr>
            <w:tcW w:w="224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Times New Roman" w:hAnsi="Times New Roman" w:eastAsia="仿宋_GB2312" w:cs="Times New Roman"/>
                <w:b/>
                <w:bCs/>
                <w:sz w:val="20"/>
                <w:szCs w:val="20"/>
              </w:rPr>
            </w:pPr>
            <w:r>
              <w:rPr>
                <w:rFonts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ascii="Times New Roman" w:hAnsi="Times New Roman" w:eastAsia="仿宋_GB2312" w:cs="Times New Roman"/>
                <w:b/>
                <w:bCs/>
                <w:sz w:val="20"/>
                <w:szCs w:val="20"/>
              </w:rPr>
              <w:t>年实际在职人数</w:t>
            </w:r>
          </w:p>
        </w:tc>
        <w:tc>
          <w:tcPr>
            <w:tcW w:w="2041"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Times New Roman" w:hAnsi="Times New Roman" w:eastAsia="仿宋_GB2312" w:cs="Times New Roman"/>
                <w:b/>
                <w:bCs/>
                <w:sz w:val="20"/>
                <w:szCs w:val="20"/>
              </w:rPr>
            </w:pPr>
            <w:r>
              <w:rPr>
                <w:rFonts w:ascii="Times New Roman" w:hAnsi="Times New Roman" w:eastAsia="仿宋_GB2312" w:cs="Times New Roman"/>
                <w:b/>
                <w:bCs/>
                <w:sz w:val="20"/>
                <w:szCs w:val="20"/>
              </w:rPr>
              <w:t>控制率</w:t>
            </w:r>
          </w:p>
        </w:tc>
      </w:tr>
      <w:tr>
        <w:tblPrEx>
          <w:tblLayout w:type="fixed"/>
          <w:tblCellMar>
            <w:top w:w="0" w:type="dxa"/>
            <w:left w:w="108" w:type="dxa"/>
            <w:bottom w:w="0" w:type="dxa"/>
            <w:right w:w="108" w:type="dxa"/>
          </w:tblCellMar>
        </w:tblPrEx>
        <w:trPr>
          <w:jc w:val="center"/>
        </w:trPr>
        <w:tc>
          <w:tcPr>
            <w:tcW w:w="3354"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eastAsia="仿宋_GB2312" w:cs="Times New Roman"/>
                <w:sz w:val="20"/>
                <w:szCs w:val="20"/>
              </w:rPr>
            </w:pPr>
          </w:p>
        </w:tc>
        <w:tc>
          <w:tcPr>
            <w:tcW w:w="2038"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17</w:t>
            </w:r>
          </w:p>
        </w:tc>
        <w:tc>
          <w:tcPr>
            <w:tcW w:w="2240"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20</w:t>
            </w:r>
          </w:p>
        </w:tc>
        <w:tc>
          <w:tcPr>
            <w:tcW w:w="2041"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117.65%</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b/>
                <w:bCs/>
                <w:sz w:val="20"/>
                <w:szCs w:val="20"/>
              </w:rPr>
            </w:pPr>
            <w:r>
              <w:rPr>
                <w:rFonts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2</w:t>
            </w:r>
            <w:r>
              <w:rPr>
                <w:rFonts w:ascii="Times New Roman" w:hAnsi="Times New Roman" w:eastAsia="仿宋_GB2312" w:cs="Times New Roman"/>
                <w:b/>
                <w:bCs/>
                <w:sz w:val="20"/>
                <w:szCs w:val="20"/>
              </w:rPr>
              <w:t>年决算数</w:t>
            </w:r>
          </w:p>
        </w:tc>
        <w:tc>
          <w:tcPr>
            <w:tcW w:w="2240"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b/>
                <w:bCs/>
                <w:sz w:val="20"/>
                <w:szCs w:val="20"/>
              </w:rPr>
            </w:pPr>
            <w:r>
              <w:rPr>
                <w:rFonts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ascii="Times New Roman" w:hAnsi="Times New Roman" w:eastAsia="仿宋_GB2312" w:cs="Times New Roman"/>
                <w:b/>
                <w:bCs/>
                <w:sz w:val="20"/>
                <w:szCs w:val="20"/>
              </w:rPr>
              <w:t>年预算数</w:t>
            </w:r>
          </w:p>
        </w:tc>
        <w:tc>
          <w:tcPr>
            <w:tcW w:w="2041"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b/>
                <w:bCs/>
                <w:sz w:val="20"/>
                <w:szCs w:val="20"/>
              </w:rPr>
            </w:pPr>
            <w:r>
              <w:rPr>
                <w:rFonts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ascii="Times New Roman" w:hAnsi="Times New Roman" w:eastAsia="仿宋_GB2312" w:cs="Times New Roman"/>
                <w:b/>
                <w:bCs/>
                <w:sz w:val="20"/>
                <w:szCs w:val="20"/>
              </w:rPr>
              <w:t>年决算数</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三公经费</w:t>
            </w:r>
          </w:p>
        </w:tc>
        <w:tc>
          <w:tcPr>
            <w:tcW w:w="2038"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highlight w:val="none"/>
                <w:lang w:val="en-US" w:eastAsia="zh-CN"/>
              </w:rPr>
              <w:t>0.20</w:t>
            </w:r>
          </w:p>
        </w:tc>
        <w:tc>
          <w:tcPr>
            <w:tcW w:w="2240"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5.10</w:t>
            </w:r>
          </w:p>
        </w:tc>
        <w:tc>
          <w:tcPr>
            <w:tcW w:w="2041"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default" w:ascii="Times New Roman" w:hAnsi="Times New Roman" w:eastAsia="仿宋_GB2312" w:cs="Times New Roman"/>
                <w:color w:val="auto"/>
                <w:sz w:val="20"/>
                <w:szCs w:val="20"/>
                <w:lang w:val="en-US"/>
              </w:rPr>
            </w:pPr>
            <w:r>
              <w:rPr>
                <w:rFonts w:hint="eastAsia" w:ascii="Times New Roman" w:hAnsi="Times New Roman" w:eastAsia="仿宋_GB2312" w:cs="Times New Roman"/>
                <w:color w:val="auto"/>
                <w:sz w:val="20"/>
                <w:szCs w:val="20"/>
                <w:highlight w:val="none"/>
                <w:lang w:val="en-US" w:eastAsia="zh-CN"/>
              </w:rPr>
              <w:t>4.86</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4.50</w:t>
            </w:r>
          </w:p>
        </w:tc>
        <w:tc>
          <w:tcPr>
            <w:tcW w:w="2041"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4.50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0</w:t>
            </w:r>
          </w:p>
        </w:tc>
        <w:tc>
          <w:tcPr>
            <w:tcW w:w="2041"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4.50</w:t>
            </w:r>
          </w:p>
        </w:tc>
        <w:tc>
          <w:tcPr>
            <w:tcW w:w="2041"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4.50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0</w:t>
            </w:r>
          </w:p>
        </w:tc>
        <w:tc>
          <w:tcPr>
            <w:tcW w:w="2041"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highlight w:val="none"/>
                <w:lang w:val="en-US" w:eastAsia="zh-CN"/>
              </w:rPr>
              <w:t>0.20</w:t>
            </w:r>
          </w:p>
        </w:tc>
        <w:tc>
          <w:tcPr>
            <w:tcW w:w="2240"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0.60</w:t>
            </w:r>
          </w:p>
        </w:tc>
        <w:tc>
          <w:tcPr>
            <w:tcW w:w="2041"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default" w:ascii="Times New Roman" w:hAnsi="Times New Roman" w:eastAsia="仿宋_GB2312" w:cs="Times New Roman"/>
                <w:color w:val="auto"/>
                <w:sz w:val="20"/>
                <w:szCs w:val="20"/>
                <w:lang w:val="en-US"/>
              </w:rPr>
            </w:pPr>
            <w:r>
              <w:rPr>
                <w:rFonts w:hint="eastAsia" w:ascii="Times New Roman" w:hAnsi="Times New Roman" w:eastAsia="仿宋_GB2312" w:cs="Times New Roman"/>
                <w:color w:val="auto"/>
                <w:sz w:val="20"/>
                <w:szCs w:val="20"/>
                <w:lang w:val="en-US" w:eastAsia="zh-CN"/>
              </w:rPr>
              <w:t>0.36</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项目支出：</w:t>
            </w:r>
          </w:p>
        </w:tc>
        <w:tc>
          <w:tcPr>
            <w:tcW w:w="2038"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eastAsia" w:ascii="Times New Roman" w:hAnsi="Times New Roman" w:eastAsia="仿宋_GB2312" w:cs="Times New Roman"/>
                <w:sz w:val="20"/>
                <w:szCs w:val="20"/>
                <w:lang w:eastAsia="zh-CN"/>
              </w:rPr>
            </w:pPr>
            <w:r>
              <w:rPr>
                <w:rFonts w:hint="eastAsia" w:ascii="Times New Roman" w:hAnsi="Times New Roman" w:eastAsia="仿宋_GB2312" w:cs="Times New Roman"/>
                <w:sz w:val="20"/>
                <w:szCs w:val="20"/>
                <w:lang w:val="en-US" w:eastAsia="zh-CN"/>
              </w:rPr>
              <w:t>102.80</w:t>
            </w:r>
          </w:p>
        </w:tc>
        <w:tc>
          <w:tcPr>
            <w:tcW w:w="2240"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color w:val="FF0000"/>
                <w:sz w:val="20"/>
                <w:szCs w:val="20"/>
              </w:rPr>
            </w:pPr>
            <w:r>
              <w:rPr>
                <w:rFonts w:hint="eastAsia" w:ascii="Times New Roman" w:hAnsi="Times New Roman" w:eastAsia="仿宋_GB2312" w:cs="Times New Roman"/>
                <w:color w:val="auto"/>
                <w:sz w:val="20"/>
                <w:szCs w:val="20"/>
                <w:lang w:val="en-US" w:eastAsia="zh-CN"/>
              </w:rPr>
              <w:t>514.21</w:t>
            </w:r>
          </w:p>
        </w:tc>
        <w:tc>
          <w:tcPr>
            <w:tcW w:w="2041"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95.71</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eastAsia" w:ascii="Times New Roman" w:hAnsi="Times New Roman" w:eastAsia="仿宋_GB2312" w:cs="Times New Roman"/>
                <w:sz w:val="20"/>
                <w:szCs w:val="20"/>
                <w:lang w:eastAsia="zh-CN"/>
              </w:rPr>
            </w:pPr>
            <w:r>
              <w:rPr>
                <w:rFonts w:hint="eastAsia" w:ascii="Times New Roman" w:hAnsi="Times New Roman" w:eastAsia="仿宋_GB2312" w:cs="Times New Roman"/>
                <w:sz w:val="20"/>
                <w:szCs w:val="20"/>
                <w:lang w:val="en-US" w:eastAsia="zh-CN"/>
              </w:rPr>
              <w:t>20</w:t>
            </w:r>
          </w:p>
        </w:tc>
        <w:tc>
          <w:tcPr>
            <w:tcW w:w="2240"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69.20</w:t>
            </w:r>
          </w:p>
        </w:tc>
        <w:tc>
          <w:tcPr>
            <w:tcW w:w="2041"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48.25</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10</w:t>
            </w:r>
          </w:p>
        </w:tc>
        <w:tc>
          <w:tcPr>
            <w:tcW w:w="2041"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9.92</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spacing w:line="360" w:lineRule="exact"/>
              <w:ind w:firstLine="400" w:firstLineChars="200"/>
              <w:rPr>
                <w:rFonts w:ascii="Times New Roman" w:hAnsi="Times New Roman" w:eastAsia="仿宋_GB2312" w:cs="Times New Roman"/>
                <w:sz w:val="20"/>
                <w:szCs w:val="20"/>
              </w:rPr>
            </w:pPr>
            <w:r>
              <w:rPr>
                <w:rFonts w:ascii="Times New Roman" w:hAnsi="Times New Roman" w:eastAsia="仿宋_GB2312" w:cs="Times New Roman"/>
                <w:sz w:val="20"/>
                <w:szCs w:val="20"/>
              </w:rPr>
              <w:t>3、</w:t>
            </w:r>
            <w:r>
              <w:rPr>
                <w:rFonts w:hint="eastAsia" w:ascii="Times New Roman" w:hAnsi="Times New Roman" w:eastAsia="仿宋_GB2312" w:cs="Times New Roman"/>
                <w:sz w:val="20"/>
                <w:szCs w:val="20"/>
                <w:lang w:eastAsia="zh-CN"/>
              </w:rPr>
              <w:t>省级专项资金</w:t>
            </w:r>
          </w:p>
        </w:tc>
        <w:tc>
          <w:tcPr>
            <w:tcW w:w="2038"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eastAsia" w:ascii="Times New Roman" w:hAnsi="Times New Roman" w:eastAsia="仿宋_GB2312" w:cs="Times New Roman"/>
                <w:sz w:val="20"/>
                <w:szCs w:val="20"/>
                <w:lang w:eastAsia="zh-CN"/>
              </w:rPr>
            </w:pPr>
            <w:r>
              <w:rPr>
                <w:rFonts w:hint="eastAsia" w:ascii="Times New Roman" w:hAnsi="Times New Roman" w:eastAsia="仿宋_GB2312" w:cs="Times New Roman"/>
                <w:sz w:val="20"/>
                <w:szCs w:val="20"/>
                <w:lang w:val="en-US" w:eastAsia="zh-CN"/>
              </w:rPr>
              <w:t>50</w:t>
            </w:r>
          </w:p>
        </w:tc>
        <w:tc>
          <w:tcPr>
            <w:tcW w:w="2240"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eastAsia" w:ascii="Times New Roman" w:hAnsi="Times New Roman" w:eastAsia="仿宋_GB2312" w:cs="Times New Roman"/>
                <w:color w:val="FF0000"/>
                <w:sz w:val="20"/>
                <w:szCs w:val="20"/>
                <w:lang w:val="en-US" w:eastAsia="zh-CN"/>
              </w:rPr>
            </w:pPr>
            <w:r>
              <w:rPr>
                <w:rFonts w:hint="eastAsia" w:ascii="Times New Roman" w:hAnsi="Times New Roman" w:eastAsia="仿宋_GB2312" w:cs="Times New Roman"/>
                <w:color w:val="auto"/>
                <w:sz w:val="20"/>
                <w:szCs w:val="20"/>
                <w:lang w:val="en-US" w:eastAsia="zh-CN"/>
              </w:rPr>
              <w:t>300</w:t>
            </w:r>
          </w:p>
        </w:tc>
        <w:tc>
          <w:tcPr>
            <w:tcW w:w="2041"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spacing w:line="360" w:lineRule="exact"/>
              <w:ind w:firstLine="400" w:firstLineChars="200"/>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eastAsia="zh-CN"/>
              </w:rPr>
              <w:t>市场监督管理专项</w:t>
            </w:r>
          </w:p>
        </w:tc>
        <w:tc>
          <w:tcPr>
            <w:tcW w:w="2038"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eastAsia" w:ascii="Times New Roman" w:hAnsi="Times New Roman" w:eastAsia="仿宋_GB2312" w:cs="Times New Roman"/>
                <w:sz w:val="20"/>
                <w:szCs w:val="20"/>
                <w:lang w:eastAsia="zh-CN"/>
              </w:rPr>
            </w:pPr>
            <w:r>
              <w:rPr>
                <w:rFonts w:hint="eastAsia" w:ascii="Times New Roman" w:hAnsi="Times New Roman" w:eastAsia="仿宋_GB2312" w:cs="Times New Roman"/>
                <w:sz w:val="20"/>
                <w:szCs w:val="20"/>
                <w:lang w:val="en-US" w:eastAsia="zh-CN"/>
              </w:rPr>
              <w:t>50</w:t>
            </w:r>
          </w:p>
        </w:tc>
        <w:tc>
          <w:tcPr>
            <w:tcW w:w="2240"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w:t>
            </w:r>
          </w:p>
        </w:tc>
        <w:tc>
          <w:tcPr>
            <w:tcW w:w="2041"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spacing w:line="360" w:lineRule="exact"/>
              <w:ind w:firstLine="400" w:firstLineChars="200"/>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湖南省网络商品交易监测专项</w:t>
            </w:r>
          </w:p>
        </w:tc>
        <w:tc>
          <w:tcPr>
            <w:tcW w:w="2038"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300</w:t>
            </w:r>
          </w:p>
        </w:tc>
        <w:tc>
          <w:tcPr>
            <w:tcW w:w="2041"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spacing w:line="360" w:lineRule="exact"/>
              <w:ind w:firstLine="400" w:firstLineChars="200"/>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4、省直事业单位经费补助</w:t>
            </w:r>
          </w:p>
        </w:tc>
        <w:tc>
          <w:tcPr>
            <w:tcW w:w="2038"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32.80</w:t>
            </w:r>
          </w:p>
        </w:tc>
        <w:tc>
          <w:tcPr>
            <w:tcW w:w="2240"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w:t>
            </w:r>
          </w:p>
        </w:tc>
        <w:tc>
          <w:tcPr>
            <w:tcW w:w="2041"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spacing w:line="360" w:lineRule="exact"/>
              <w:ind w:firstLine="400" w:firstLineChars="200"/>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5、其他事业发展资金</w:t>
            </w:r>
          </w:p>
        </w:tc>
        <w:tc>
          <w:tcPr>
            <w:tcW w:w="2038"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135.01</w:t>
            </w:r>
          </w:p>
        </w:tc>
        <w:tc>
          <w:tcPr>
            <w:tcW w:w="2041"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37.54</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公用经费</w:t>
            </w:r>
          </w:p>
        </w:tc>
        <w:tc>
          <w:tcPr>
            <w:tcW w:w="2038"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37.07</w:t>
            </w:r>
          </w:p>
        </w:tc>
        <w:tc>
          <w:tcPr>
            <w:tcW w:w="2240"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67.54</w:t>
            </w:r>
          </w:p>
        </w:tc>
        <w:tc>
          <w:tcPr>
            <w:tcW w:w="2041"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66.86</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其中：办公经费</w:t>
            </w:r>
          </w:p>
        </w:tc>
        <w:tc>
          <w:tcPr>
            <w:tcW w:w="2038"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color w:val="FF0000"/>
                <w:sz w:val="20"/>
                <w:szCs w:val="20"/>
              </w:rPr>
            </w:pPr>
            <w:r>
              <w:rPr>
                <w:rFonts w:hint="eastAsia" w:ascii="Times New Roman" w:hAnsi="Times New Roman" w:eastAsia="仿宋_GB2312" w:cs="Times New Roman"/>
                <w:color w:val="auto"/>
                <w:sz w:val="20"/>
                <w:szCs w:val="20"/>
                <w:lang w:val="en-US" w:eastAsia="zh-CN"/>
              </w:rPr>
              <w:t>29.87</w:t>
            </w:r>
          </w:p>
        </w:tc>
        <w:tc>
          <w:tcPr>
            <w:tcW w:w="2240"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60.66</w:t>
            </w:r>
          </w:p>
        </w:tc>
        <w:tc>
          <w:tcPr>
            <w:tcW w:w="2041"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59.27</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color w:val="FF0000"/>
                <w:sz w:val="20"/>
                <w:szCs w:val="20"/>
              </w:rPr>
            </w:pPr>
            <w:r>
              <w:rPr>
                <w:rFonts w:hint="eastAsia" w:ascii="Times New Roman" w:hAnsi="Times New Roman" w:eastAsia="仿宋_GB2312" w:cs="Times New Roman"/>
                <w:color w:val="auto"/>
                <w:sz w:val="20"/>
                <w:szCs w:val="20"/>
                <w:lang w:val="en-US" w:eastAsia="zh-CN"/>
              </w:rPr>
              <w:t>1.42</w:t>
            </w:r>
          </w:p>
        </w:tc>
        <w:tc>
          <w:tcPr>
            <w:tcW w:w="2240"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5</w:t>
            </w:r>
          </w:p>
        </w:tc>
        <w:tc>
          <w:tcPr>
            <w:tcW w:w="2041"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5.71</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color w:val="FF0000"/>
                <w:sz w:val="20"/>
                <w:szCs w:val="20"/>
              </w:rPr>
            </w:pPr>
            <w:r>
              <w:rPr>
                <w:rFonts w:hint="eastAsia" w:ascii="Times New Roman" w:hAnsi="Times New Roman" w:eastAsia="仿宋_GB2312" w:cs="Times New Roman"/>
                <w:color w:val="auto"/>
                <w:sz w:val="20"/>
                <w:szCs w:val="20"/>
                <w:lang w:val="en-US" w:eastAsia="zh-CN"/>
              </w:rPr>
              <w:t>5.78</w:t>
            </w:r>
          </w:p>
        </w:tc>
        <w:tc>
          <w:tcPr>
            <w:tcW w:w="2240"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1.88</w:t>
            </w:r>
          </w:p>
        </w:tc>
        <w:tc>
          <w:tcPr>
            <w:tcW w:w="2041"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1.88</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政府采购金额</w:t>
            </w:r>
          </w:p>
        </w:tc>
        <w:tc>
          <w:tcPr>
            <w:tcW w:w="2038"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w:t>
            </w:r>
          </w:p>
        </w:tc>
        <w:tc>
          <w:tcPr>
            <w:tcW w:w="2240"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379.20</w:t>
            </w:r>
          </w:p>
        </w:tc>
        <w:tc>
          <w:tcPr>
            <w:tcW w:w="2041"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59.51</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w:t>
            </w:r>
          </w:p>
        </w:tc>
        <w:tc>
          <w:tcPr>
            <w:tcW w:w="2240"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sz w:val="20"/>
                <w:szCs w:val="20"/>
              </w:rPr>
            </w:pPr>
          </w:p>
        </w:tc>
        <w:tc>
          <w:tcPr>
            <w:tcW w:w="2041" w:type="dxa"/>
            <w:gridSpan w:val="2"/>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sz w:val="20"/>
                <w:szCs w:val="20"/>
              </w:rPr>
            </w:pPr>
          </w:p>
        </w:tc>
      </w:tr>
      <w:tr>
        <w:tblPrEx>
          <w:tblLayout w:type="fixed"/>
          <w:tblCellMar>
            <w:top w:w="0" w:type="dxa"/>
            <w:left w:w="108" w:type="dxa"/>
            <w:bottom w:w="0" w:type="dxa"/>
            <w:right w:w="108" w:type="dxa"/>
          </w:tblCellMar>
        </w:tblPrEx>
        <w:trPr>
          <w:jc w:val="center"/>
        </w:trPr>
        <w:tc>
          <w:tcPr>
            <w:tcW w:w="3354" w:type="dxa"/>
            <w:vMerge w:val="restart"/>
            <w:tcBorders>
              <w:top w:val="nil"/>
              <w:left w:val="single" w:color="auto" w:sz="4" w:space="0"/>
              <w:bottom w:val="single" w:color="auto" w:sz="4" w:space="0"/>
              <w:right w:val="single" w:color="auto" w:sz="4" w:space="0"/>
            </w:tcBorders>
            <w:vAlign w:val="center"/>
          </w:tcPr>
          <w:p>
            <w:pPr>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楼堂馆所控制情况</w:t>
            </w:r>
            <w:r>
              <w:rPr>
                <w:rFonts w:ascii="Times New Roman" w:hAnsi="Times New Roman" w:eastAsia="仿宋_GB2312" w:cs="Times New Roman"/>
                <w:sz w:val="20"/>
                <w:szCs w:val="20"/>
              </w:rPr>
              <w:br w:type="textWrapping"/>
            </w:r>
            <w:r>
              <w:rPr>
                <w:rFonts w:ascii="Times New Roman" w:hAnsi="Times New Roman" w:eastAsia="仿宋_GB2312" w:cs="Times New Roman"/>
                <w:sz w:val="20"/>
                <w:szCs w:val="20"/>
              </w:rPr>
              <w:t>（202</w:t>
            </w:r>
            <w:r>
              <w:rPr>
                <w:rFonts w:hint="eastAsia" w:ascii="Times New Roman" w:hAnsi="Times New Roman" w:eastAsia="仿宋_GB2312" w:cs="Times New Roman"/>
                <w:sz w:val="20"/>
                <w:szCs w:val="20"/>
                <w:lang w:val="en-US" w:eastAsia="zh-CN"/>
              </w:rPr>
              <w:t>3</w:t>
            </w:r>
            <w:r>
              <w:rPr>
                <w:rFonts w:ascii="Times New Roman" w:hAnsi="Times New Roman" w:eastAsia="仿宋_GB2312" w:cs="Times New Roman"/>
                <w:sz w:val="20"/>
                <w:szCs w:val="20"/>
              </w:rPr>
              <w:t>年完工项目）</w:t>
            </w:r>
          </w:p>
        </w:tc>
        <w:tc>
          <w:tcPr>
            <w:tcW w:w="1189" w:type="dxa"/>
            <w:tcBorders>
              <w:top w:val="nil"/>
              <w:left w:val="nil"/>
              <w:bottom w:val="single" w:color="auto" w:sz="4" w:space="0"/>
              <w:right w:val="single" w:color="auto" w:sz="4" w:space="0"/>
            </w:tcBorders>
            <w:vAlign w:val="center"/>
          </w:tcPr>
          <w:p>
            <w:pPr>
              <w:spacing w:line="36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批复规模</w:t>
            </w:r>
            <w:r>
              <w:rPr>
                <w:rFonts w:ascii="Times New Roman" w:hAnsi="Times New Roman" w:eastAsia="仿宋_GB2312" w:cs="Times New Roman"/>
                <w:bCs/>
                <w:sz w:val="20"/>
                <w:szCs w:val="20"/>
              </w:rPr>
              <w:br w:type="textWrapping"/>
            </w:r>
            <w:r>
              <w:rPr>
                <w:rFonts w:ascii="Times New Roman" w:hAnsi="Times New Roman" w:eastAsia="仿宋_GB2312" w:cs="Times New Roman"/>
                <w:bCs/>
                <w:sz w:val="20"/>
                <w:szCs w:val="20"/>
              </w:rPr>
              <w:t>（</w:t>
            </w:r>
            <w:r>
              <w:rPr>
                <w:rFonts w:ascii="Times New Roman" w:hAnsi="Times New Roman" w:cs="Times New Roman"/>
                <w:bCs/>
                <w:sz w:val="20"/>
                <w:szCs w:val="20"/>
              </w:rPr>
              <w:t>㎡</w:t>
            </w:r>
            <w:r>
              <w:rPr>
                <w:rFonts w:ascii="Times New Roman" w:hAnsi="Times New Roman" w:eastAsia="仿宋_GB2312" w:cs="Times New Roman"/>
                <w:bCs/>
                <w:sz w:val="20"/>
                <w:szCs w:val="20"/>
              </w:rPr>
              <w:t>）</w:t>
            </w:r>
          </w:p>
        </w:tc>
        <w:tc>
          <w:tcPr>
            <w:tcW w:w="849" w:type="dxa"/>
            <w:tcBorders>
              <w:top w:val="nil"/>
              <w:left w:val="nil"/>
              <w:bottom w:val="single" w:color="auto" w:sz="4" w:space="0"/>
              <w:right w:val="single" w:color="auto" w:sz="4" w:space="0"/>
            </w:tcBorders>
            <w:vAlign w:val="center"/>
          </w:tcPr>
          <w:p>
            <w:pPr>
              <w:spacing w:line="36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实际规模（</w:t>
            </w:r>
            <w:r>
              <w:rPr>
                <w:rFonts w:ascii="Times New Roman" w:hAnsi="Times New Roman" w:cs="Times New Roman"/>
                <w:bCs/>
                <w:sz w:val="20"/>
                <w:szCs w:val="20"/>
              </w:rPr>
              <w:t>㎡</w:t>
            </w:r>
            <w:r>
              <w:rPr>
                <w:rFonts w:ascii="Times New Roman" w:hAnsi="Times New Roman" w:eastAsia="仿宋_GB2312" w:cs="Times New Roman"/>
                <w:bCs/>
                <w:sz w:val="20"/>
                <w:szCs w:val="20"/>
              </w:rPr>
              <w:t>）</w:t>
            </w:r>
          </w:p>
        </w:tc>
        <w:tc>
          <w:tcPr>
            <w:tcW w:w="1129" w:type="dxa"/>
            <w:tcBorders>
              <w:top w:val="nil"/>
              <w:left w:val="nil"/>
              <w:bottom w:val="single" w:color="auto" w:sz="4" w:space="0"/>
              <w:right w:val="single" w:color="auto" w:sz="4" w:space="0"/>
            </w:tcBorders>
            <w:vAlign w:val="center"/>
          </w:tcPr>
          <w:p>
            <w:pPr>
              <w:spacing w:line="36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规模控制率</w:t>
            </w:r>
          </w:p>
        </w:tc>
        <w:tc>
          <w:tcPr>
            <w:tcW w:w="1111" w:type="dxa"/>
            <w:tcBorders>
              <w:top w:val="nil"/>
              <w:left w:val="nil"/>
              <w:bottom w:val="single" w:color="auto" w:sz="4" w:space="0"/>
              <w:right w:val="single" w:color="auto" w:sz="4" w:space="0"/>
            </w:tcBorders>
            <w:vAlign w:val="center"/>
          </w:tcPr>
          <w:p>
            <w:pPr>
              <w:spacing w:line="36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预算投资（万元）</w:t>
            </w:r>
          </w:p>
        </w:tc>
        <w:tc>
          <w:tcPr>
            <w:tcW w:w="1081" w:type="dxa"/>
            <w:tcBorders>
              <w:top w:val="nil"/>
              <w:left w:val="nil"/>
              <w:bottom w:val="single" w:color="auto" w:sz="4" w:space="0"/>
              <w:right w:val="single" w:color="auto" w:sz="4" w:space="0"/>
            </w:tcBorders>
            <w:vAlign w:val="center"/>
          </w:tcPr>
          <w:p>
            <w:pPr>
              <w:spacing w:line="36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实际投资（万元）</w:t>
            </w:r>
          </w:p>
        </w:tc>
        <w:tc>
          <w:tcPr>
            <w:tcW w:w="960" w:type="dxa"/>
            <w:tcBorders>
              <w:top w:val="nil"/>
              <w:left w:val="nil"/>
              <w:bottom w:val="single" w:color="auto" w:sz="4" w:space="0"/>
              <w:right w:val="single" w:color="auto" w:sz="4" w:space="0"/>
            </w:tcBorders>
            <w:vAlign w:val="center"/>
          </w:tcPr>
          <w:p>
            <w:pPr>
              <w:spacing w:line="360" w:lineRule="exact"/>
              <w:jc w:val="center"/>
              <w:rPr>
                <w:rFonts w:ascii="Times New Roman" w:hAnsi="Times New Roman" w:eastAsia="仿宋_GB2312" w:cs="Times New Roman"/>
                <w:bCs/>
                <w:sz w:val="20"/>
                <w:szCs w:val="20"/>
              </w:rPr>
            </w:pPr>
            <w:r>
              <w:rPr>
                <w:rFonts w:ascii="Times New Roman" w:hAnsi="Times New Roman" w:eastAsia="仿宋_GB2312" w:cs="Times New Roman"/>
                <w:bCs/>
                <w:sz w:val="20"/>
                <w:szCs w:val="20"/>
              </w:rPr>
              <w:t>投资概算控制率</w:t>
            </w:r>
          </w:p>
        </w:tc>
      </w:tr>
      <w:tr>
        <w:tblPrEx>
          <w:tblLayout w:type="fixed"/>
          <w:tblCellMar>
            <w:top w:w="0" w:type="dxa"/>
            <w:left w:w="108" w:type="dxa"/>
            <w:bottom w:w="0" w:type="dxa"/>
            <w:right w:w="108" w:type="dxa"/>
          </w:tblCellMar>
        </w:tblPrEx>
        <w:trPr>
          <w:jc w:val="center"/>
        </w:trPr>
        <w:tc>
          <w:tcPr>
            <w:tcW w:w="3354" w:type="dxa"/>
            <w:vMerge w:val="continue"/>
            <w:tcBorders>
              <w:top w:val="nil"/>
              <w:left w:val="single" w:color="auto" w:sz="4" w:space="0"/>
              <w:bottom w:val="single" w:color="auto" w:sz="4" w:space="0"/>
              <w:right w:val="single" w:color="auto" w:sz="4" w:space="0"/>
            </w:tcBorders>
            <w:vAlign w:val="center"/>
          </w:tcPr>
          <w:p>
            <w:pPr>
              <w:spacing w:line="360" w:lineRule="exact"/>
              <w:rPr>
                <w:rFonts w:ascii="Times New Roman" w:hAnsi="Times New Roman" w:eastAsia="仿宋_GB2312" w:cs="Times New Roman"/>
                <w:sz w:val="20"/>
                <w:szCs w:val="20"/>
              </w:rPr>
            </w:pPr>
          </w:p>
        </w:tc>
        <w:tc>
          <w:tcPr>
            <w:tcW w:w="1189" w:type="dxa"/>
            <w:tcBorders>
              <w:top w:val="nil"/>
              <w:left w:val="nil"/>
              <w:bottom w:val="single" w:color="auto" w:sz="4" w:space="0"/>
              <w:right w:val="single" w:color="auto" w:sz="4" w:space="0"/>
            </w:tcBorders>
            <w:vAlign w:val="center"/>
          </w:tcPr>
          <w:p>
            <w:pPr>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849" w:type="dxa"/>
            <w:tcBorders>
              <w:top w:val="nil"/>
              <w:left w:val="nil"/>
              <w:bottom w:val="single" w:color="auto" w:sz="4" w:space="0"/>
              <w:right w:val="single" w:color="auto" w:sz="4" w:space="0"/>
            </w:tcBorders>
            <w:vAlign w:val="center"/>
          </w:tcPr>
          <w:p>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1129" w:type="dxa"/>
            <w:tcBorders>
              <w:top w:val="nil"/>
              <w:left w:val="nil"/>
              <w:bottom w:val="single" w:color="auto" w:sz="4" w:space="0"/>
              <w:right w:val="single" w:color="auto" w:sz="4" w:space="0"/>
            </w:tcBorders>
            <w:vAlign w:val="center"/>
          </w:tcPr>
          <w:p>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1111" w:type="dxa"/>
            <w:tcBorders>
              <w:top w:val="nil"/>
              <w:left w:val="nil"/>
              <w:bottom w:val="single" w:color="auto" w:sz="4" w:space="0"/>
              <w:right w:val="single" w:color="auto" w:sz="4" w:space="0"/>
            </w:tcBorders>
            <w:vAlign w:val="center"/>
          </w:tcPr>
          <w:p>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1081" w:type="dxa"/>
            <w:tcBorders>
              <w:top w:val="nil"/>
              <w:left w:val="nil"/>
              <w:bottom w:val="single" w:color="auto" w:sz="4" w:space="0"/>
              <w:right w:val="single" w:color="auto" w:sz="4" w:space="0"/>
            </w:tcBorders>
            <w:vAlign w:val="center"/>
          </w:tcPr>
          <w:p>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960" w:type="dxa"/>
            <w:tcBorders>
              <w:top w:val="nil"/>
              <w:left w:val="nil"/>
              <w:bottom w:val="single" w:color="auto" w:sz="4" w:space="0"/>
              <w:right w:val="single" w:color="auto" w:sz="4" w:space="0"/>
            </w:tcBorders>
            <w:vAlign w:val="center"/>
          </w:tcPr>
          <w:p>
            <w:pPr>
              <w:spacing w:line="36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vAlign w:val="center"/>
          </w:tcPr>
          <w:p>
            <w:pPr>
              <w:spacing w:line="3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bl>
    <w:p>
      <w:pPr>
        <w:spacing w:line="400" w:lineRule="exact"/>
        <w:rPr>
          <w:rFonts w:ascii="Times New Roman" w:hAnsi="Times New Roman" w:eastAsia="仿宋_GB2312" w:cs="Times New Roman"/>
          <w:sz w:val="22"/>
        </w:rPr>
      </w:pPr>
      <w:r>
        <w:rPr>
          <w:rFonts w:ascii="Times New Roman" w:hAnsi="Times New Roman" w:eastAsia="仿宋_GB2312" w:cs="Times New Roman"/>
          <w:sz w:val="22"/>
        </w:rPr>
        <w:t>说明：“项目支出”需要填报基本支出以外的所有项目支出情况，“公用经费”填报基本支出中的一般商品和服务支出。</w:t>
      </w:r>
    </w:p>
    <w:p>
      <w:pPr>
        <w:spacing w:line="400" w:lineRule="exact"/>
        <w:rPr>
          <w:rFonts w:ascii="Times New Roman" w:hAnsi="Times New Roman" w:eastAsia="仿宋_GB2312" w:cs="Times New Roman"/>
          <w:sz w:val="22"/>
        </w:rPr>
      </w:pPr>
    </w:p>
    <w:p>
      <w:pPr>
        <w:spacing w:line="277" w:lineRule="auto"/>
        <w:rPr>
          <w:rFonts w:ascii="黑体" w:hAnsi="黑体" w:eastAsia="黑体" w:cs="黑体"/>
          <w:spacing w:val="-27"/>
          <w:position w:val="1"/>
          <w:sz w:val="32"/>
          <w:szCs w:val="32"/>
        </w:rPr>
      </w:pPr>
      <w:r>
        <w:rPr>
          <w:rFonts w:ascii="Times New Roman" w:hAnsi="Times New Roman" w:eastAsia="仿宋_GB2312" w:cs="Times New Roman"/>
          <w:sz w:val="22"/>
        </w:rPr>
        <w:t>填表人：</w:t>
      </w:r>
      <w:r>
        <w:rPr>
          <w:rFonts w:hint="eastAsia" w:ascii="Times New Roman" w:hAnsi="Times New Roman" w:eastAsia="仿宋_GB2312" w:cs="Times New Roman"/>
          <w:sz w:val="22"/>
          <w:lang w:eastAsia="zh-CN"/>
        </w:rPr>
        <w:t>宋炀</w:t>
      </w:r>
      <w:r>
        <w:rPr>
          <w:rFonts w:ascii="Times New Roman" w:hAnsi="Times New Roman" w:eastAsia="仿宋_GB2312" w:cs="Times New Roman"/>
          <w:sz w:val="22"/>
        </w:rPr>
        <w:t xml:space="preserve">  填报日期：</w:t>
      </w:r>
      <w:r>
        <w:rPr>
          <w:rFonts w:hint="eastAsia" w:ascii="Times New Roman" w:hAnsi="Times New Roman" w:eastAsia="仿宋_GB2312" w:cs="Times New Roman"/>
          <w:sz w:val="22"/>
          <w:lang w:val="en-US" w:eastAsia="zh-CN"/>
        </w:rPr>
        <w:t>2024.03.28</w:t>
      </w:r>
      <w:r>
        <w:rPr>
          <w:rFonts w:ascii="Times New Roman" w:hAnsi="Times New Roman" w:eastAsia="仿宋_GB2312" w:cs="Times New Roman"/>
          <w:sz w:val="22"/>
        </w:rPr>
        <w:t xml:space="preserve">   联系电话：</w:t>
      </w:r>
      <w:r>
        <w:rPr>
          <w:rFonts w:hint="eastAsia" w:ascii="Times New Roman" w:hAnsi="Times New Roman" w:eastAsia="仿宋_GB2312" w:cs="Times New Roman"/>
          <w:sz w:val="22"/>
          <w:lang w:val="en-US" w:eastAsia="zh-CN"/>
        </w:rPr>
        <w:t>13507419009</w:t>
      </w:r>
      <w:r>
        <w:rPr>
          <w:rFonts w:ascii="Times New Roman" w:hAnsi="Times New Roman" w:eastAsia="仿宋_GB2312" w:cs="Times New Roman"/>
          <w:sz w:val="22"/>
        </w:rPr>
        <w:t xml:space="preserve"> </w:t>
      </w:r>
      <w:r>
        <w:rPr>
          <w:rFonts w:hint="eastAsia" w:ascii="Times New Roman" w:hAnsi="Times New Roman" w:eastAsia="仿宋_GB2312" w:cs="Times New Roman"/>
          <w:sz w:val="22"/>
          <w:lang w:val="en-US" w:eastAsia="zh-CN"/>
        </w:rPr>
        <w:t xml:space="preserve"> </w:t>
      </w:r>
      <w:r>
        <w:rPr>
          <w:rFonts w:ascii="Times New Roman" w:hAnsi="Times New Roman" w:eastAsia="仿宋_GB2312" w:cs="Times New Roman"/>
          <w:sz w:val="22"/>
        </w:rPr>
        <w:t>单位负责人签字：</w:t>
      </w:r>
      <w:r>
        <w:rPr>
          <w:rFonts w:hint="eastAsia" w:ascii="Times New Roman" w:hAnsi="Times New Roman" w:eastAsia="仿宋_GB2312" w:cs="Times New Roman"/>
          <w:sz w:val="22"/>
          <w:lang w:eastAsia="zh-CN"/>
        </w:rPr>
        <w:t>颜珠容</w:t>
      </w:r>
    </w:p>
    <w:p>
      <w:pPr>
        <w:spacing w:before="104" w:line="425" w:lineRule="exact"/>
        <w:ind w:left="69"/>
        <w:rPr>
          <w:rFonts w:ascii="黑体" w:hAnsi="黑体" w:eastAsia="黑体" w:cs="黑体"/>
          <w:spacing w:val="-27"/>
          <w:position w:val="1"/>
          <w:sz w:val="32"/>
          <w:szCs w:val="32"/>
        </w:rPr>
      </w:pPr>
    </w:p>
    <w:p>
      <w:pPr>
        <w:spacing w:before="104" w:line="425" w:lineRule="exact"/>
        <w:ind w:left="69"/>
        <w:rPr>
          <w:rFonts w:ascii="黑体" w:hAnsi="黑体" w:eastAsia="黑体" w:cs="黑体"/>
          <w:spacing w:val="-27"/>
          <w:position w:val="1"/>
          <w:sz w:val="32"/>
          <w:szCs w:val="32"/>
        </w:rPr>
      </w:pPr>
    </w:p>
    <w:p>
      <w:pPr>
        <w:pStyle w:val="3"/>
      </w:pPr>
    </w:p>
    <w:p>
      <w:pPr>
        <w:spacing w:before="104" w:line="425" w:lineRule="exact"/>
        <w:ind w:left="69"/>
        <w:rPr>
          <w:rFonts w:ascii="Times New Roman" w:hAnsi="Times New Roman" w:eastAsia="Times New Roman" w:cs="Times New Roman"/>
          <w:sz w:val="32"/>
          <w:szCs w:val="32"/>
        </w:rPr>
      </w:pPr>
      <w:r>
        <w:rPr>
          <w:rFonts w:ascii="黑体" w:hAnsi="黑体" w:eastAsia="黑体" w:cs="黑体"/>
          <w:spacing w:val="-27"/>
          <w:position w:val="1"/>
          <w:sz w:val="32"/>
          <w:szCs w:val="32"/>
        </w:rPr>
        <w:t>附</w:t>
      </w:r>
      <w:r>
        <w:rPr>
          <w:rFonts w:ascii="黑体" w:hAnsi="黑体" w:eastAsia="黑体" w:cs="黑体"/>
          <w:spacing w:val="-24"/>
          <w:position w:val="1"/>
          <w:sz w:val="32"/>
          <w:szCs w:val="32"/>
        </w:rPr>
        <w:t>件</w:t>
      </w:r>
      <w:r>
        <w:rPr>
          <w:rFonts w:ascii="Times New Roman" w:hAnsi="Times New Roman" w:eastAsia="Times New Roman" w:cs="Times New Roman"/>
          <w:spacing w:val="-24"/>
          <w:position w:val="1"/>
          <w:sz w:val="32"/>
          <w:szCs w:val="32"/>
        </w:rPr>
        <w:t>3</w:t>
      </w:r>
    </w:p>
    <w:p>
      <w:pPr>
        <w:spacing w:before="242" w:line="183" w:lineRule="auto"/>
        <w:ind w:left="1168"/>
        <w:rPr>
          <w:rFonts w:ascii="微软雅黑" w:hAnsi="微软雅黑" w:eastAsia="微软雅黑" w:cs="微软雅黑"/>
          <w:spacing w:val="-9"/>
          <w:sz w:val="44"/>
          <w:szCs w:val="44"/>
        </w:rPr>
      </w:pPr>
      <w:r>
        <w:rPr>
          <w:rFonts w:ascii="微软雅黑" w:hAnsi="微软雅黑" w:eastAsia="微软雅黑" w:cs="微软雅黑"/>
          <w:spacing w:val="-10"/>
          <w:sz w:val="44"/>
          <w:szCs w:val="44"/>
        </w:rPr>
        <w:t>202</w:t>
      </w:r>
      <w:r>
        <w:rPr>
          <w:rFonts w:hint="eastAsia" w:ascii="微软雅黑" w:hAnsi="微软雅黑" w:eastAsia="微软雅黑" w:cs="微软雅黑"/>
          <w:spacing w:val="-10"/>
          <w:sz w:val="44"/>
          <w:szCs w:val="44"/>
          <w:lang w:val="en-US" w:eastAsia="zh-CN"/>
        </w:rPr>
        <w:t>3</w:t>
      </w:r>
      <w:r>
        <w:rPr>
          <w:rFonts w:ascii="微软雅黑" w:hAnsi="微软雅黑" w:eastAsia="微软雅黑" w:cs="微软雅黑"/>
          <w:spacing w:val="-10"/>
          <w:sz w:val="44"/>
          <w:szCs w:val="44"/>
        </w:rPr>
        <w:t>年度单位整体支出绩效自评</w:t>
      </w:r>
      <w:r>
        <w:rPr>
          <w:rFonts w:ascii="微软雅黑" w:hAnsi="微软雅黑" w:eastAsia="微软雅黑" w:cs="微软雅黑"/>
          <w:spacing w:val="-9"/>
          <w:sz w:val="44"/>
          <w:szCs w:val="44"/>
        </w:rPr>
        <w:t>表</w:t>
      </w:r>
    </w:p>
    <w:tbl>
      <w:tblPr>
        <w:tblStyle w:val="11"/>
        <w:tblW w:w="10079" w:type="dxa"/>
        <w:jc w:val="center"/>
        <w:tblInd w:w="0" w:type="dxa"/>
        <w:tblLayout w:type="fixed"/>
        <w:tblCellMar>
          <w:top w:w="0" w:type="dxa"/>
          <w:left w:w="108" w:type="dxa"/>
          <w:bottom w:w="0" w:type="dxa"/>
          <w:right w:w="108" w:type="dxa"/>
        </w:tblCellMar>
      </w:tblPr>
      <w:tblGrid>
        <w:gridCol w:w="1080"/>
        <w:gridCol w:w="1080"/>
        <w:gridCol w:w="1034"/>
        <w:gridCol w:w="1270"/>
        <w:gridCol w:w="1311"/>
        <w:gridCol w:w="1269"/>
        <w:gridCol w:w="716"/>
        <w:gridCol w:w="873"/>
        <w:gridCol w:w="1446"/>
      </w:tblGrid>
      <w:tr>
        <w:tblPrEx>
          <w:tblLayout w:type="fixed"/>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省级预算部门名称</w:t>
            </w:r>
          </w:p>
        </w:tc>
        <w:tc>
          <w:tcPr>
            <w:tcW w:w="8999" w:type="dxa"/>
            <w:gridSpan w:val="8"/>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eastAsia="zh-CN"/>
              </w:rPr>
              <w:t>湖南省网络商品交易监测中心</w:t>
            </w:r>
            <w:r>
              <w:rPr>
                <w:rFonts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年度预</w:t>
            </w:r>
          </w:p>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算申请</w:t>
            </w:r>
            <w:r>
              <w:rPr>
                <w:rFonts w:ascii="Times New Roman" w:hAnsi="Times New Roman" w:eastAsia="仿宋_GB2312" w:cs="Times New Roman"/>
                <w:sz w:val="20"/>
                <w:szCs w:val="20"/>
              </w:rPr>
              <w:br w:type="textWrapping"/>
            </w:r>
            <w:r>
              <w:rPr>
                <w:rFonts w:ascii="Times New Roman" w:hAnsi="Times New Roman" w:eastAsia="仿宋_GB2312" w:cs="Times New Roman"/>
                <w:sz w:val="20"/>
                <w:szCs w:val="20"/>
              </w:rPr>
              <w:t>（万元）</w:t>
            </w:r>
          </w:p>
        </w:tc>
        <w:tc>
          <w:tcPr>
            <w:tcW w:w="2114"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p>
        </w:tc>
        <w:tc>
          <w:tcPr>
            <w:tcW w:w="127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年初预算数</w:t>
            </w:r>
          </w:p>
        </w:tc>
        <w:tc>
          <w:tcPr>
            <w:tcW w:w="1311"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全年预算数</w:t>
            </w:r>
          </w:p>
        </w:tc>
        <w:tc>
          <w:tcPr>
            <w:tcW w:w="1269"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全年执行数</w:t>
            </w:r>
          </w:p>
        </w:tc>
        <w:tc>
          <w:tcPr>
            <w:tcW w:w="71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分值</w:t>
            </w:r>
          </w:p>
        </w:tc>
        <w:tc>
          <w:tcPr>
            <w:tcW w:w="873"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执行率</w:t>
            </w:r>
          </w:p>
        </w:tc>
        <w:tc>
          <w:tcPr>
            <w:tcW w:w="144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eastAsia="zh-CN"/>
              </w:rPr>
              <w:t>自评</w:t>
            </w:r>
            <w:r>
              <w:rPr>
                <w:rFonts w:ascii="Times New Roman" w:hAnsi="Times New Roman" w:eastAsia="仿宋_GB2312" w:cs="Times New Roman"/>
                <w:sz w:val="20"/>
                <w:szCs w:val="20"/>
              </w:rPr>
              <w:t>得分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p>
        </w:tc>
        <w:tc>
          <w:tcPr>
            <w:tcW w:w="2114"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年度资金总额</w:t>
            </w:r>
          </w:p>
        </w:tc>
        <w:tc>
          <w:tcPr>
            <w:tcW w:w="1270" w:type="dxa"/>
            <w:tcBorders>
              <w:top w:val="nil"/>
              <w:left w:val="nil"/>
              <w:bottom w:val="single" w:color="auto" w:sz="4" w:space="0"/>
              <w:right w:val="single" w:color="auto" w:sz="4" w:space="0"/>
            </w:tcBorders>
            <w:vAlign w:val="center"/>
          </w:tcPr>
          <w:p>
            <w:pPr>
              <w:spacing w:line="24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974.90</w:t>
            </w:r>
          </w:p>
        </w:tc>
        <w:tc>
          <w:tcPr>
            <w:tcW w:w="1311" w:type="dxa"/>
            <w:tcBorders>
              <w:top w:val="nil"/>
              <w:left w:val="nil"/>
              <w:bottom w:val="single" w:color="auto" w:sz="4" w:space="0"/>
              <w:right w:val="single" w:color="auto" w:sz="4" w:space="0"/>
            </w:tcBorders>
            <w:vAlign w:val="center"/>
          </w:tcPr>
          <w:p>
            <w:pPr>
              <w:spacing w:line="24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1142.71</w:t>
            </w:r>
          </w:p>
        </w:tc>
        <w:tc>
          <w:tcPr>
            <w:tcW w:w="1269" w:type="dxa"/>
            <w:tcBorders>
              <w:top w:val="nil"/>
              <w:left w:val="nil"/>
              <w:bottom w:val="single" w:color="auto" w:sz="4" w:space="0"/>
              <w:right w:val="single" w:color="auto" w:sz="4" w:space="0"/>
            </w:tcBorders>
            <w:vAlign w:val="center"/>
          </w:tcPr>
          <w:p>
            <w:pPr>
              <w:spacing w:line="24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721.63</w:t>
            </w:r>
          </w:p>
        </w:tc>
        <w:tc>
          <w:tcPr>
            <w:tcW w:w="71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highlight w:val="none"/>
              </w:rPr>
            </w:pPr>
            <w:r>
              <w:rPr>
                <w:rFonts w:ascii="Times New Roman" w:hAnsi="Times New Roman" w:eastAsia="仿宋_GB2312" w:cs="Times New Roman"/>
                <w:sz w:val="20"/>
                <w:szCs w:val="20"/>
                <w:highlight w:val="none"/>
              </w:rPr>
              <w:t>10</w:t>
            </w:r>
          </w:p>
        </w:tc>
        <w:tc>
          <w:tcPr>
            <w:tcW w:w="873" w:type="dxa"/>
            <w:tcBorders>
              <w:top w:val="nil"/>
              <w:left w:val="nil"/>
              <w:bottom w:val="single" w:color="auto" w:sz="4" w:space="0"/>
              <w:right w:val="single" w:color="auto" w:sz="4" w:space="0"/>
            </w:tcBorders>
            <w:vAlign w:val="center"/>
          </w:tcPr>
          <w:p>
            <w:pPr>
              <w:spacing w:line="240" w:lineRule="exact"/>
              <w:jc w:val="center"/>
              <w:rPr>
                <w:rFonts w:hint="eastAsia"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63.15%</w:t>
            </w:r>
          </w:p>
        </w:tc>
        <w:tc>
          <w:tcPr>
            <w:tcW w:w="1446" w:type="dxa"/>
            <w:tcBorders>
              <w:top w:val="nil"/>
              <w:left w:val="nil"/>
              <w:bottom w:val="single" w:color="auto" w:sz="4" w:space="0"/>
              <w:right w:val="single" w:color="auto" w:sz="4" w:space="0"/>
            </w:tcBorders>
            <w:vAlign w:val="center"/>
          </w:tcPr>
          <w:p>
            <w:pPr>
              <w:spacing w:line="240" w:lineRule="exact"/>
              <w:jc w:val="center"/>
              <w:rPr>
                <w:rFonts w:hint="eastAsia"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7</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rPr>
                <w:rFonts w:ascii="Times New Roman" w:hAnsi="Times New Roman" w:eastAsia="仿宋_GB2312" w:cs="Times New Roman"/>
                <w:sz w:val="20"/>
                <w:szCs w:val="20"/>
              </w:rPr>
            </w:pPr>
          </w:p>
        </w:tc>
        <w:tc>
          <w:tcPr>
            <w:tcW w:w="4695" w:type="dxa"/>
            <w:gridSpan w:val="4"/>
            <w:tcBorders>
              <w:top w:val="nil"/>
              <w:left w:val="nil"/>
              <w:bottom w:val="single" w:color="auto" w:sz="4" w:space="0"/>
              <w:right w:val="single" w:color="auto" w:sz="4" w:space="0"/>
            </w:tcBorders>
            <w:vAlign w:val="center"/>
          </w:tcPr>
          <w:p>
            <w:pPr>
              <w:spacing w:line="24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按收入性质分：</w:t>
            </w:r>
            <w:r>
              <w:rPr>
                <w:rFonts w:hint="eastAsia" w:ascii="Times New Roman" w:hAnsi="Times New Roman" w:eastAsia="仿宋_GB2312" w:cs="Times New Roman"/>
                <w:sz w:val="20"/>
                <w:szCs w:val="20"/>
                <w:lang w:val="en-US" w:eastAsia="zh-CN"/>
              </w:rPr>
              <w:t>1142.71</w:t>
            </w:r>
          </w:p>
        </w:tc>
        <w:tc>
          <w:tcPr>
            <w:tcW w:w="4304" w:type="dxa"/>
            <w:gridSpan w:val="4"/>
            <w:tcBorders>
              <w:top w:val="nil"/>
              <w:left w:val="nil"/>
              <w:bottom w:val="single" w:color="auto" w:sz="4" w:space="0"/>
              <w:right w:val="single" w:color="auto" w:sz="4" w:space="0"/>
            </w:tcBorders>
            <w:vAlign w:val="center"/>
          </w:tcPr>
          <w:p>
            <w:pPr>
              <w:spacing w:line="240" w:lineRule="exact"/>
              <w:rPr>
                <w:rFonts w:ascii="Times New Roman" w:hAnsi="Times New Roman" w:eastAsia="仿宋_GB2312" w:cs="Times New Roman"/>
                <w:sz w:val="20"/>
                <w:szCs w:val="20"/>
                <w:highlight w:val="none"/>
              </w:rPr>
            </w:pPr>
            <w:r>
              <w:rPr>
                <w:rFonts w:ascii="Times New Roman" w:hAnsi="Times New Roman" w:eastAsia="仿宋_GB2312" w:cs="Times New Roman"/>
                <w:sz w:val="20"/>
                <w:szCs w:val="20"/>
                <w:highlight w:val="none"/>
              </w:rPr>
              <w:t>按支出性质分：</w:t>
            </w:r>
            <w:r>
              <w:rPr>
                <w:rFonts w:hint="eastAsia" w:ascii="Times New Roman" w:hAnsi="Times New Roman" w:eastAsia="仿宋_GB2312" w:cs="Times New Roman"/>
                <w:sz w:val="20"/>
                <w:szCs w:val="20"/>
                <w:highlight w:val="none"/>
                <w:lang w:val="en-US" w:eastAsia="zh-CN"/>
              </w:rPr>
              <w:t>721.63</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rPr>
                <w:rFonts w:ascii="Times New Roman" w:hAnsi="Times New Roman" w:eastAsia="仿宋_GB2312" w:cs="Times New Roman"/>
                <w:sz w:val="20"/>
                <w:szCs w:val="20"/>
              </w:rPr>
            </w:pPr>
          </w:p>
        </w:tc>
        <w:tc>
          <w:tcPr>
            <w:tcW w:w="4695" w:type="dxa"/>
            <w:gridSpan w:val="4"/>
            <w:tcBorders>
              <w:top w:val="nil"/>
              <w:left w:val="nil"/>
              <w:bottom w:val="single" w:color="auto" w:sz="4" w:space="0"/>
              <w:right w:val="single" w:color="auto" w:sz="4" w:space="0"/>
            </w:tcBorders>
            <w:vAlign w:val="center"/>
          </w:tcPr>
          <w:p>
            <w:pPr>
              <w:spacing w:line="24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xml:space="preserve">  其中：  一般公共预算：</w:t>
            </w:r>
            <w:r>
              <w:rPr>
                <w:rFonts w:hint="eastAsia" w:ascii="Times New Roman" w:hAnsi="Times New Roman" w:eastAsia="仿宋_GB2312" w:cs="Times New Roman"/>
                <w:sz w:val="20"/>
                <w:szCs w:val="20"/>
                <w:lang w:val="en-US" w:eastAsia="zh-CN"/>
              </w:rPr>
              <w:t>1142.71</w:t>
            </w:r>
          </w:p>
        </w:tc>
        <w:tc>
          <w:tcPr>
            <w:tcW w:w="4304" w:type="dxa"/>
            <w:gridSpan w:val="4"/>
            <w:tcBorders>
              <w:top w:val="nil"/>
              <w:left w:val="nil"/>
              <w:bottom w:val="single" w:color="auto" w:sz="4" w:space="0"/>
              <w:right w:val="single" w:color="auto" w:sz="4" w:space="0"/>
            </w:tcBorders>
            <w:vAlign w:val="center"/>
          </w:tcPr>
          <w:p>
            <w:pPr>
              <w:spacing w:line="240" w:lineRule="exact"/>
              <w:rPr>
                <w:rFonts w:ascii="Times New Roman" w:hAnsi="Times New Roman" w:eastAsia="仿宋_GB2312" w:cs="Times New Roman"/>
                <w:color w:val="auto"/>
                <w:sz w:val="20"/>
                <w:szCs w:val="20"/>
                <w:highlight w:val="none"/>
              </w:rPr>
            </w:pPr>
            <w:r>
              <w:rPr>
                <w:rFonts w:ascii="Times New Roman" w:hAnsi="Times New Roman" w:eastAsia="仿宋_GB2312" w:cs="Times New Roman"/>
                <w:color w:val="auto"/>
                <w:sz w:val="20"/>
                <w:szCs w:val="20"/>
                <w:highlight w:val="none"/>
              </w:rPr>
              <w:t>其中：基本支出：</w:t>
            </w:r>
            <w:r>
              <w:rPr>
                <w:rFonts w:hint="eastAsia" w:ascii="Times New Roman" w:hAnsi="Times New Roman" w:eastAsia="仿宋_GB2312" w:cs="Times New Roman"/>
                <w:color w:val="auto"/>
                <w:sz w:val="20"/>
                <w:szCs w:val="20"/>
                <w:highlight w:val="none"/>
                <w:lang w:val="en-US" w:eastAsia="zh-CN"/>
              </w:rPr>
              <w:t>625.92</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rPr>
                <w:rFonts w:ascii="Times New Roman" w:hAnsi="Times New Roman" w:eastAsia="仿宋_GB2312" w:cs="Times New Roman"/>
                <w:sz w:val="20"/>
                <w:szCs w:val="20"/>
              </w:rPr>
            </w:pPr>
          </w:p>
        </w:tc>
        <w:tc>
          <w:tcPr>
            <w:tcW w:w="4695" w:type="dxa"/>
            <w:gridSpan w:val="4"/>
            <w:tcBorders>
              <w:top w:val="nil"/>
              <w:left w:val="nil"/>
              <w:bottom w:val="single" w:color="auto" w:sz="4" w:space="0"/>
              <w:right w:val="single" w:color="auto" w:sz="4" w:space="0"/>
            </w:tcBorders>
            <w:vAlign w:val="center"/>
          </w:tcPr>
          <w:p>
            <w:pPr>
              <w:spacing w:line="240" w:lineRule="exact"/>
              <w:ind w:firstLine="800" w:firstLineChars="400"/>
              <w:rPr>
                <w:rFonts w:ascii="Times New Roman" w:hAnsi="Times New Roman" w:eastAsia="仿宋_GB2312" w:cs="Times New Roman"/>
                <w:sz w:val="20"/>
                <w:szCs w:val="20"/>
              </w:rPr>
            </w:pPr>
            <w:r>
              <w:rPr>
                <w:rFonts w:ascii="Times New Roman" w:hAnsi="Times New Roman" w:eastAsia="仿宋_GB2312" w:cs="Times New Roman"/>
                <w:sz w:val="20"/>
                <w:szCs w:val="20"/>
              </w:rPr>
              <w:t>政府性基金拨款：</w:t>
            </w:r>
            <w:r>
              <w:rPr>
                <w:rFonts w:hint="eastAsia" w:ascii="Times New Roman" w:hAnsi="Times New Roman" w:eastAsia="仿宋_GB2312" w:cs="Times New Roman"/>
                <w:sz w:val="20"/>
                <w:szCs w:val="20"/>
                <w:lang w:val="en-US" w:eastAsia="zh-CN"/>
              </w:rPr>
              <w:t>0</w:t>
            </w:r>
          </w:p>
        </w:tc>
        <w:tc>
          <w:tcPr>
            <w:tcW w:w="4304" w:type="dxa"/>
            <w:gridSpan w:val="4"/>
            <w:tcBorders>
              <w:top w:val="nil"/>
              <w:left w:val="nil"/>
              <w:bottom w:val="single" w:color="auto" w:sz="4" w:space="0"/>
              <w:right w:val="single" w:color="auto" w:sz="4" w:space="0"/>
            </w:tcBorders>
            <w:vAlign w:val="center"/>
          </w:tcPr>
          <w:p>
            <w:pPr>
              <w:spacing w:line="240" w:lineRule="exact"/>
              <w:ind w:firstLine="600" w:firstLineChars="300"/>
              <w:rPr>
                <w:rFonts w:ascii="Times New Roman" w:hAnsi="Times New Roman" w:eastAsia="仿宋_GB2312" w:cs="Times New Roman"/>
                <w:color w:val="auto"/>
                <w:sz w:val="20"/>
                <w:szCs w:val="20"/>
                <w:highlight w:val="none"/>
              </w:rPr>
            </w:pPr>
            <w:r>
              <w:rPr>
                <w:rFonts w:ascii="Times New Roman" w:hAnsi="Times New Roman" w:eastAsia="仿宋_GB2312" w:cs="Times New Roman"/>
                <w:color w:val="auto"/>
                <w:sz w:val="20"/>
                <w:szCs w:val="20"/>
                <w:highlight w:val="none"/>
              </w:rPr>
              <w:t>项目支出：</w:t>
            </w:r>
            <w:r>
              <w:rPr>
                <w:rFonts w:hint="eastAsia" w:ascii="Times New Roman" w:hAnsi="Times New Roman" w:eastAsia="仿宋_GB2312" w:cs="Times New Roman"/>
                <w:color w:val="auto"/>
                <w:sz w:val="20"/>
                <w:szCs w:val="20"/>
                <w:highlight w:val="none"/>
                <w:lang w:val="en-US" w:eastAsia="zh-CN"/>
              </w:rPr>
              <w:t>95.71</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rPr>
                <w:rFonts w:ascii="Times New Roman" w:hAnsi="Times New Roman" w:eastAsia="仿宋_GB2312" w:cs="Times New Roman"/>
                <w:sz w:val="20"/>
                <w:szCs w:val="20"/>
              </w:rPr>
            </w:pPr>
          </w:p>
        </w:tc>
        <w:tc>
          <w:tcPr>
            <w:tcW w:w="4695" w:type="dxa"/>
            <w:gridSpan w:val="4"/>
            <w:tcBorders>
              <w:top w:val="nil"/>
              <w:left w:val="nil"/>
              <w:bottom w:val="single" w:color="auto" w:sz="4" w:space="0"/>
              <w:right w:val="single" w:color="auto" w:sz="4" w:space="0"/>
            </w:tcBorders>
            <w:vAlign w:val="center"/>
          </w:tcPr>
          <w:p>
            <w:pPr>
              <w:spacing w:line="24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纳入专户管理的非税收入拨款：</w:t>
            </w:r>
            <w:r>
              <w:rPr>
                <w:rFonts w:hint="eastAsia" w:ascii="Times New Roman" w:hAnsi="Times New Roman" w:eastAsia="仿宋_GB2312" w:cs="Times New Roman"/>
                <w:sz w:val="20"/>
                <w:szCs w:val="20"/>
                <w:lang w:val="en-US" w:eastAsia="zh-CN"/>
              </w:rPr>
              <w:t>0</w:t>
            </w:r>
          </w:p>
        </w:tc>
        <w:tc>
          <w:tcPr>
            <w:tcW w:w="4304" w:type="dxa"/>
            <w:gridSpan w:val="4"/>
            <w:tcBorders>
              <w:top w:val="nil"/>
              <w:left w:val="nil"/>
              <w:bottom w:val="single" w:color="auto" w:sz="4" w:space="0"/>
              <w:right w:val="single" w:color="auto" w:sz="4" w:space="0"/>
            </w:tcBorders>
            <w:vAlign w:val="center"/>
          </w:tcPr>
          <w:p>
            <w:pPr>
              <w:spacing w:line="240" w:lineRule="exact"/>
              <w:rPr>
                <w:rFonts w:ascii="Times New Roman" w:hAnsi="Times New Roman" w:eastAsia="仿宋_GB2312" w:cs="Times New Roman"/>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vAlign w:val="center"/>
          </w:tcPr>
          <w:p>
            <w:pPr>
              <w:spacing w:line="240" w:lineRule="exact"/>
              <w:rPr>
                <w:rFonts w:ascii="Times New Roman" w:hAnsi="Times New Roman" w:eastAsia="仿宋_GB2312" w:cs="Times New Roman"/>
                <w:sz w:val="20"/>
                <w:szCs w:val="20"/>
              </w:rPr>
            </w:pPr>
          </w:p>
        </w:tc>
        <w:tc>
          <w:tcPr>
            <w:tcW w:w="4695" w:type="dxa"/>
            <w:gridSpan w:val="4"/>
            <w:tcBorders>
              <w:top w:val="nil"/>
              <w:left w:val="nil"/>
              <w:bottom w:val="single" w:color="auto" w:sz="4" w:space="0"/>
              <w:right w:val="single" w:color="auto" w:sz="4" w:space="0"/>
            </w:tcBorders>
            <w:vAlign w:val="center"/>
          </w:tcPr>
          <w:p>
            <w:pPr>
              <w:spacing w:line="240" w:lineRule="exact"/>
              <w:ind w:firstLine="1400" w:firstLineChars="700"/>
              <w:rPr>
                <w:rFonts w:ascii="Times New Roman" w:hAnsi="Times New Roman" w:eastAsia="仿宋_GB2312" w:cs="Times New Roman"/>
                <w:sz w:val="20"/>
                <w:szCs w:val="20"/>
              </w:rPr>
            </w:pPr>
            <w:r>
              <w:rPr>
                <w:rFonts w:ascii="Times New Roman" w:hAnsi="Times New Roman" w:eastAsia="仿宋_GB2312" w:cs="Times New Roman"/>
                <w:sz w:val="20"/>
                <w:szCs w:val="20"/>
              </w:rPr>
              <w:t>其他资金：</w:t>
            </w:r>
            <w:r>
              <w:rPr>
                <w:rFonts w:hint="eastAsia" w:ascii="Times New Roman" w:hAnsi="Times New Roman" w:eastAsia="仿宋_GB2312" w:cs="Times New Roman"/>
                <w:sz w:val="20"/>
                <w:szCs w:val="20"/>
                <w:lang w:val="en-US" w:eastAsia="zh-CN"/>
              </w:rPr>
              <w:t>0</w:t>
            </w:r>
          </w:p>
        </w:tc>
        <w:tc>
          <w:tcPr>
            <w:tcW w:w="4304" w:type="dxa"/>
            <w:gridSpan w:val="4"/>
            <w:tcBorders>
              <w:top w:val="nil"/>
              <w:left w:val="nil"/>
              <w:bottom w:val="single" w:color="auto" w:sz="4" w:space="0"/>
              <w:right w:val="single" w:color="auto" w:sz="4" w:space="0"/>
            </w:tcBorders>
            <w:vAlign w:val="center"/>
          </w:tcPr>
          <w:p>
            <w:pPr>
              <w:spacing w:line="240" w:lineRule="exact"/>
              <w:rPr>
                <w:rFonts w:ascii="Times New Roman" w:hAnsi="Times New Roman" w:eastAsia="仿宋_GB2312" w:cs="Times New Roman"/>
                <w:sz w:val="20"/>
                <w:szCs w:val="20"/>
              </w:rPr>
            </w:pP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年度总体目标</w:t>
            </w:r>
          </w:p>
        </w:tc>
        <w:tc>
          <w:tcPr>
            <w:tcW w:w="4695" w:type="dxa"/>
            <w:gridSpan w:val="4"/>
            <w:tcBorders>
              <w:top w:val="single" w:color="auto" w:sz="4" w:space="0"/>
              <w:left w:val="nil"/>
              <w:bottom w:val="single" w:color="auto" w:sz="4" w:space="0"/>
              <w:right w:val="single" w:color="000000"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预期目标</w:t>
            </w:r>
          </w:p>
        </w:tc>
        <w:tc>
          <w:tcPr>
            <w:tcW w:w="4304" w:type="dxa"/>
            <w:gridSpan w:val="4"/>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实际完成情况　</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pPr>
              <w:spacing w:line="240" w:lineRule="exact"/>
              <w:rPr>
                <w:rFonts w:ascii="Times New Roman" w:hAnsi="Times New Roman" w:eastAsia="仿宋_GB2312" w:cs="Times New Roman"/>
                <w:sz w:val="20"/>
                <w:szCs w:val="20"/>
              </w:rPr>
            </w:pPr>
          </w:p>
        </w:tc>
        <w:tc>
          <w:tcPr>
            <w:tcW w:w="4695" w:type="dxa"/>
            <w:gridSpan w:val="4"/>
            <w:tcBorders>
              <w:top w:val="single" w:color="auto" w:sz="4" w:space="0"/>
              <w:left w:val="nil"/>
              <w:bottom w:val="single" w:color="auto" w:sz="4" w:space="0"/>
              <w:right w:val="single" w:color="000000" w:sz="4" w:space="0"/>
            </w:tcBorders>
            <w:vAlign w:val="center"/>
          </w:tcPr>
          <w:p>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1142.71</w:t>
            </w:r>
            <w:r>
              <w:rPr>
                <w:rFonts w:ascii="Times New Roman" w:hAnsi="Times New Roman" w:eastAsia="仿宋_GB2312" w:cs="Times New Roman"/>
                <w:sz w:val="20"/>
                <w:szCs w:val="20"/>
              </w:rPr>
              <w:t>　</w:t>
            </w:r>
          </w:p>
        </w:tc>
        <w:tc>
          <w:tcPr>
            <w:tcW w:w="4304" w:type="dxa"/>
            <w:gridSpan w:val="4"/>
            <w:tcBorders>
              <w:top w:val="single" w:color="auto" w:sz="4" w:space="0"/>
              <w:left w:val="nil"/>
              <w:bottom w:val="single" w:color="auto" w:sz="4" w:space="0"/>
              <w:right w:val="single" w:color="auto" w:sz="4" w:space="0"/>
            </w:tcBorders>
            <w:vAlign w:val="center"/>
          </w:tcPr>
          <w:p>
            <w:pPr>
              <w:spacing w:line="240" w:lineRule="exact"/>
              <w:jc w:val="center"/>
              <w:rPr>
                <w:rFonts w:hint="default" w:ascii="Times New Roman" w:hAnsi="Times New Roman" w:eastAsia="仿宋_GB2312" w:cs="Times New Roman"/>
                <w:sz w:val="20"/>
                <w:szCs w:val="20"/>
                <w:lang w:val="en-US"/>
              </w:rPr>
            </w:pPr>
            <w:r>
              <w:rPr>
                <w:rFonts w:hint="eastAsia" w:ascii="Times New Roman" w:hAnsi="Times New Roman" w:eastAsia="仿宋_GB2312" w:cs="Times New Roman"/>
                <w:sz w:val="20"/>
                <w:szCs w:val="20"/>
                <w:highlight w:val="none"/>
                <w:lang w:val="en-US" w:eastAsia="zh-CN"/>
              </w:rPr>
              <w:t>721.63</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绩</w:t>
            </w:r>
          </w:p>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效</w:t>
            </w:r>
          </w:p>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指</w:t>
            </w:r>
          </w:p>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标</w:t>
            </w:r>
          </w:p>
          <w:p>
            <w:pPr>
              <w:spacing w:line="240" w:lineRule="exact"/>
              <w:jc w:val="center"/>
              <w:rPr>
                <w:rFonts w:ascii="Times New Roman" w:hAnsi="Times New Roman" w:eastAsia="仿宋_GB2312" w:cs="Times New Roman"/>
                <w:sz w:val="20"/>
                <w:szCs w:val="20"/>
              </w:rPr>
            </w:pPr>
          </w:p>
        </w:tc>
        <w:tc>
          <w:tcPr>
            <w:tcW w:w="108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一级指标</w:t>
            </w:r>
          </w:p>
        </w:tc>
        <w:tc>
          <w:tcPr>
            <w:tcW w:w="1034"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二级指标</w:t>
            </w:r>
          </w:p>
        </w:tc>
        <w:tc>
          <w:tcPr>
            <w:tcW w:w="127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三级指标</w:t>
            </w:r>
          </w:p>
        </w:tc>
        <w:tc>
          <w:tcPr>
            <w:tcW w:w="1311" w:type="dxa"/>
            <w:tcBorders>
              <w:top w:val="nil"/>
              <w:left w:val="nil"/>
              <w:bottom w:val="single" w:color="auto" w:sz="4" w:space="0"/>
              <w:right w:val="single" w:color="auto" w:sz="4" w:space="0"/>
            </w:tcBorders>
            <w:vAlign w:val="center"/>
          </w:tcPr>
          <w:p>
            <w:pPr>
              <w:spacing w:line="240" w:lineRule="exact"/>
              <w:jc w:val="both"/>
              <w:rPr>
                <w:rFonts w:ascii="Times New Roman" w:hAnsi="Times New Roman" w:eastAsia="仿宋_GB2312" w:cs="Times New Roman"/>
                <w:sz w:val="20"/>
                <w:szCs w:val="20"/>
              </w:rPr>
            </w:pPr>
            <w:r>
              <w:rPr>
                <w:rFonts w:ascii="Times New Roman" w:hAnsi="Times New Roman" w:eastAsia="仿宋_GB2312" w:cs="Times New Roman"/>
                <w:sz w:val="20"/>
                <w:szCs w:val="20"/>
              </w:rPr>
              <w:t>年度指标值</w:t>
            </w:r>
          </w:p>
        </w:tc>
        <w:tc>
          <w:tcPr>
            <w:tcW w:w="1269" w:type="dxa"/>
            <w:tcBorders>
              <w:top w:val="nil"/>
              <w:left w:val="nil"/>
              <w:bottom w:val="single" w:color="auto" w:sz="4" w:space="0"/>
              <w:right w:val="single" w:color="auto" w:sz="4" w:space="0"/>
            </w:tcBorders>
            <w:vAlign w:val="center"/>
          </w:tcPr>
          <w:p>
            <w:pPr>
              <w:spacing w:line="24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实际完成值</w:t>
            </w:r>
          </w:p>
        </w:tc>
        <w:tc>
          <w:tcPr>
            <w:tcW w:w="71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分值</w:t>
            </w:r>
          </w:p>
        </w:tc>
        <w:tc>
          <w:tcPr>
            <w:tcW w:w="873"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得分</w:t>
            </w:r>
          </w:p>
        </w:tc>
        <w:tc>
          <w:tcPr>
            <w:tcW w:w="1446" w:type="dxa"/>
            <w:tcBorders>
              <w:top w:val="nil"/>
              <w:left w:val="nil"/>
              <w:bottom w:val="single" w:color="auto" w:sz="4" w:space="0"/>
              <w:right w:val="single" w:color="auto" w:sz="4" w:space="0"/>
            </w:tcBorders>
            <w:vAlign w:val="center"/>
          </w:tcPr>
          <w:p>
            <w:pPr>
              <w:spacing w:line="240" w:lineRule="exact"/>
              <w:jc w:val="both"/>
              <w:rPr>
                <w:rFonts w:ascii="Times New Roman" w:hAnsi="Times New Roman" w:eastAsia="仿宋_GB2312" w:cs="Times New Roman"/>
                <w:sz w:val="20"/>
                <w:szCs w:val="20"/>
              </w:rPr>
            </w:pPr>
            <w:r>
              <w:rPr>
                <w:rFonts w:ascii="Times New Roman" w:hAnsi="Times New Roman" w:eastAsia="仿宋_GB2312" w:cs="Times New Roman"/>
                <w:sz w:val="20"/>
                <w:szCs w:val="20"/>
              </w:rPr>
              <w:t>偏差原因分析及改进措施</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rPr>
                <w:rFonts w:ascii="Times New Roman" w:hAnsi="Times New Roman" w:eastAsia="仿宋_GB2312" w:cs="Times New Roman"/>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产出指标</w:t>
            </w:r>
          </w:p>
          <w:p>
            <w:pPr>
              <w:spacing w:line="240" w:lineRule="exact"/>
              <w:jc w:val="center"/>
              <w:rPr>
                <w:rFonts w:ascii="Times New Roman" w:hAnsi="Times New Roman" w:eastAsia="仿宋_GB2312" w:cs="Times New Roman"/>
                <w:sz w:val="20"/>
                <w:szCs w:val="20"/>
              </w:rPr>
            </w:pPr>
          </w:p>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(50分)</w:t>
            </w:r>
          </w:p>
        </w:tc>
        <w:tc>
          <w:tcPr>
            <w:tcW w:w="1034"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数量指标</w:t>
            </w:r>
          </w:p>
        </w:tc>
        <w:tc>
          <w:tcPr>
            <w:tcW w:w="12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仿宋_GB2312" w:cs="Times New Roman"/>
                <w:sz w:val="20"/>
                <w:szCs w:val="20"/>
                <w:lang w:eastAsia="zh-CN"/>
              </w:rPr>
            </w:pPr>
            <w:r>
              <w:rPr>
                <w:rFonts w:hint="eastAsia" w:ascii="仿宋" w:hAnsi="仿宋" w:eastAsia="仿宋" w:cs="仿宋"/>
                <w:color w:val="000000"/>
                <w:kern w:val="0"/>
                <w:sz w:val="18"/>
                <w:szCs w:val="18"/>
              </w:rPr>
              <w:t>开展</w:t>
            </w:r>
            <w:r>
              <w:rPr>
                <w:rFonts w:hint="eastAsia" w:ascii="仿宋" w:hAnsi="仿宋" w:eastAsia="仿宋" w:cs="仿宋"/>
                <w:color w:val="000000"/>
                <w:kern w:val="0"/>
                <w:sz w:val="18"/>
                <w:szCs w:val="18"/>
                <w:lang w:eastAsia="zh-CN"/>
              </w:rPr>
              <w:t>网络监测相关法律知识</w:t>
            </w:r>
            <w:r>
              <w:rPr>
                <w:rFonts w:hint="eastAsia" w:ascii="仿宋" w:hAnsi="仿宋" w:eastAsia="仿宋" w:cs="仿宋"/>
                <w:color w:val="000000"/>
                <w:kern w:val="0"/>
                <w:sz w:val="18"/>
                <w:szCs w:val="18"/>
              </w:rPr>
              <w:t>业务培训</w:t>
            </w:r>
            <w:r>
              <w:rPr>
                <w:rFonts w:hint="eastAsia" w:ascii="仿宋" w:hAnsi="仿宋" w:eastAsia="仿宋" w:cs="仿宋"/>
                <w:color w:val="000000"/>
                <w:kern w:val="0"/>
                <w:sz w:val="18"/>
                <w:szCs w:val="18"/>
                <w:lang w:eastAsia="zh-CN"/>
              </w:rPr>
              <w:t>次数</w:t>
            </w:r>
          </w:p>
        </w:tc>
        <w:tc>
          <w:tcPr>
            <w:tcW w:w="1311"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2场次</w:t>
            </w:r>
          </w:p>
        </w:tc>
        <w:tc>
          <w:tcPr>
            <w:tcW w:w="1269"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2场次</w:t>
            </w:r>
          </w:p>
        </w:tc>
        <w:tc>
          <w:tcPr>
            <w:tcW w:w="71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5</w:t>
            </w:r>
          </w:p>
        </w:tc>
        <w:tc>
          <w:tcPr>
            <w:tcW w:w="873"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5</w:t>
            </w:r>
          </w:p>
        </w:tc>
        <w:tc>
          <w:tcPr>
            <w:tcW w:w="144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rPr>
                <w:rFonts w:ascii="Times New Roman" w:hAnsi="Times New Roman" w:eastAsia="仿宋_GB2312" w:cs="Times New Roman"/>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p>
        </w:tc>
        <w:tc>
          <w:tcPr>
            <w:tcW w:w="1034"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p>
        </w:tc>
        <w:tc>
          <w:tcPr>
            <w:tcW w:w="12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仿宋_GB2312" w:cs="Times New Roman"/>
                <w:sz w:val="20"/>
                <w:szCs w:val="20"/>
                <w:lang w:eastAsia="zh-CN"/>
              </w:rPr>
            </w:pPr>
            <w:r>
              <w:rPr>
                <w:rFonts w:hint="eastAsia" w:ascii="Times New Roman" w:hAnsi="Times New Roman" w:eastAsia="仿宋_GB2312" w:cs="Times New Roman"/>
                <w:sz w:val="20"/>
                <w:szCs w:val="20"/>
                <w:lang w:eastAsia="zh-CN"/>
              </w:rPr>
              <w:t>网络商品交易监测工作</w:t>
            </w:r>
          </w:p>
        </w:tc>
        <w:tc>
          <w:tcPr>
            <w:tcW w:w="1311"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color w:val="FF0000"/>
                <w:sz w:val="20"/>
                <w:szCs w:val="20"/>
              </w:rPr>
            </w:pPr>
            <w:r>
              <w:rPr>
                <w:rFonts w:hint="eastAsia" w:ascii="仿宋" w:hAnsi="仿宋" w:eastAsia="仿宋" w:cs="仿宋"/>
                <w:color w:val="000000"/>
                <w:kern w:val="0"/>
                <w:sz w:val="18"/>
                <w:szCs w:val="18"/>
              </w:rPr>
              <w:t>≥</w:t>
            </w:r>
            <w:r>
              <w:rPr>
                <w:rFonts w:hint="eastAsia" w:ascii="仿宋" w:hAnsi="仿宋" w:eastAsia="仿宋" w:cs="仿宋"/>
                <w:color w:val="000000"/>
                <w:kern w:val="0"/>
                <w:sz w:val="18"/>
                <w:szCs w:val="18"/>
                <w:lang w:val="en-US" w:eastAsia="zh-CN"/>
              </w:rPr>
              <w:t>2</w:t>
            </w:r>
            <w:r>
              <w:rPr>
                <w:rFonts w:hint="eastAsia" w:ascii="Times New Roman" w:hAnsi="Times New Roman" w:eastAsia="仿宋_GB2312" w:cs="Times New Roman"/>
                <w:sz w:val="20"/>
                <w:szCs w:val="20"/>
                <w:lang w:val="en-US" w:eastAsia="zh-CN"/>
              </w:rPr>
              <w:t>0条</w:t>
            </w:r>
          </w:p>
        </w:tc>
        <w:tc>
          <w:tcPr>
            <w:tcW w:w="1269"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32条</w:t>
            </w:r>
          </w:p>
        </w:tc>
        <w:tc>
          <w:tcPr>
            <w:tcW w:w="71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5</w:t>
            </w:r>
          </w:p>
        </w:tc>
        <w:tc>
          <w:tcPr>
            <w:tcW w:w="873"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5</w:t>
            </w:r>
          </w:p>
        </w:tc>
        <w:tc>
          <w:tcPr>
            <w:tcW w:w="144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rPr>
                <w:rFonts w:ascii="Times New Roman" w:hAnsi="Times New Roman" w:eastAsia="仿宋_GB2312" w:cs="Times New Roman"/>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p>
        </w:tc>
        <w:tc>
          <w:tcPr>
            <w:tcW w:w="1034"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p>
        </w:tc>
        <w:tc>
          <w:tcPr>
            <w:tcW w:w="12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仿宋_GB2312" w:cs="Times New Roman"/>
                <w:sz w:val="20"/>
                <w:szCs w:val="20"/>
                <w:lang w:eastAsia="zh-CN"/>
              </w:rPr>
            </w:pPr>
            <w:r>
              <w:rPr>
                <w:rFonts w:hint="eastAsia" w:ascii="Times New Roman" w:hAnsi="Times New Roman" w:eastAsia="仿宋_GB2312" w:cs="Times New Roman"/>
                <w:sz w:val="20"/>
                <w:szCs w:val="20"/>
                <w:lang w:eastAsia="zh-CN"/>
              </w:rPr>
              <w:t>监测报告报送</w:t>
            </w:r>
          </w:p>
        </w:tc>
        <w:tc>
          <w:tcPr>
            <w:tcW w:w="1311"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12次</w:t>
            </w:r>
          </w:p>
        </w:tc>
        <w:tc>
          <w:tcPr>
            <w:tcW w:w="1269"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12次</w:t>
            </w:r>
          </w:p>
        </w:tc>
        <w:tc>
          <w:tcPr>
            <w:tcW w:w="71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5</w:t>
            </w:r>
          </w:p>
        </w:tc>
        <w:tc>
          <w:tcPr>
            <w:tcW w:w="873"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5</w:t>
            </w:r>
          </w:p>
        </w:tc>
        <w:tc>
          <w:tcPr>
            <w:tcW w:w="144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rPr>
                <w:rFonts w:ascii="Times New Roman" w:hAnsi="Times New Roman" w:eastAsia="仿宋_GB2312" w:cs="Times New Roman"/>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p>
        </w:tc>
        <w:tc>
          <w:tcPr>
            <w:tcW w:w="1034"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质量指标</w:t>
            </w:r>
          </w:p>
        </w:tc>
        <w:tc>
          <w:tcPr>
            <w:tcW w:w="12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imes New Roman" w:hAnsi="Times New Roman" w:eastAsia="仿宋_GB2312" w:cs="Times New Roman"/>
                <w:sz w:val="20"/>
                <w:szCs w:val="20"/>
                <w:lang w:eastAsia="zh-CN"/>
              </w:rPr>
            </w:pPr>
            <w:r>
              <w:rPr>
                <w:rFonts w:hint="eastAsia" w:ascii="Times New Roman" w:hAnsi="Times New Roman" w:eastAsia="仿宋_GB2312" w:cs="Times New Roman"/>
                <w:sz w:val="20"/>
                <w:szCs w:val="20"/>
                <w:lang w:eastAsia="zh-CN"/>
              </w:rPr>
              <w:t>网监人员参与度</w:t>
            </w:r>
          </w:p>
        </w:tc>
        <w:tc>
          <w:tcPr>
            <w:tcW w:w="1311" w:type="dxa"/>
            <w:tcBorders>
              <w:top w:val="nil"/>
              <w:left w:val="nil"/>
              <w:bottom w:val="single" w:color="auto" w:sz="4" w:space="0"/>
              <w:right w:val="single" w:color="auto" w:sz="4" w:space="0"/>
            </w:tcBorders>
            <w:vAlign w:val="center"/>
          </w:tcPr>
          <w:p>
            <w:pPr>
              <w:spacing w:line="24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100%</w:t>
            </w:r>
          </w:p>
        </w:tc>
        <w:tc>
          <w:tcPr>
            <w:tcW w:w="1269" w:type="dxa"/>
            <w:tcBorders>
              <w:top w:val="nil"/>
              <w:left w:val="nil"/>
              <w:bottom w:val="single" w:color="auto" w:sz="4" w:space="0"/>
              <w:right w:val="single" w:color="auto" w:sz="4" w:space="0"/>
            </w:tcBorders>
            <w:vAlign w:val="center"/>
          </w:tcPr>
          <w:p>
            <w:pPr>
              <w:spacing w:line="24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100%</w:t>
            </w:r>
          </w:p>
        </w:tc>
        <w:tc>
          <w:tcPr>
            <w:tcW w:w="716" w:type="dxa"/>
            <w:tcBorders>
              <w:top w:val="nil"/>
              <w:left w:val="nil"/>
              <w:bottom w:val="single" w:color="auto" w:sz="4" w:space="0"/>
              <w:right w:val="single" w:color="auto" w:sz="4" w:space="0"/>
            </w:tcBorders>
            <w:vAlign w:val="center"/>
          </w:tcPr>
          <w:p>
            <w:pPr>
              <w:spacing w:line="24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5</w:t>
            </w:r>
          </w:p>
        </w:tc>
        <w:tc>
          <w:tcPr>
            <w:tcW w:w="873" w:type="dxa"/>
            <w:tcBorders>
              <w:top w:val="nil"/>
              <w:left w:val="nil"/>
              <w:bottom w:val="single" w:color="auto" w:sz="4" w:space="0"/>
              <w:right w:val="single" w:color="auto" w:sz="4" w:space="0"/>
            </w:tcBorders>
            <w:vAlign w:val="center"/>
          </w:tcPr>
          <w:p>
            <w:pPr>
              <w:spacing w:line="24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5</w:t>
            </w:r>
          </w:p>
        </w:tc>
        <w:tc>
          <w:tcPr>
            <w:tcW w:w="144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rPr>
                <w:rFonts w:ascii="Times New Roman" w:hAnsi="Times New Roman" w:eastAsia="仿宋_GB2312" w:cs="Times New Roman"/>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p>
        </w:tc>
        <w:tc>
          <w:tcPr>
            <w:tcW w:w="1034"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p>
        </w:tc>
        <w:tc>
          <w:tcPr>
            <w:tcW w:w="12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eastAsia="zh-CN"/>
              </w:rPr>
              <w:t>提供网络交易专项监测涉嫌违法线索</w:t>
            </w:r>
          </w:p>
        </w:tc>
        <w:tc>
          <w:tcPr>
            <w:tcW w:w="1311" w:type="dxa"/>
            <w:tcBorders>
              <w:top w:val="nil"/>
              <w:left w:val="nil"/>
              <w:bottom w:val="single" w:color="auto" w:sz="4" w:space="0"/>
              <w:right w:val="single" w:color="auto" w:sz="4" w:space="0"/>
            </w:tcBorders>
            <w:vAlign w:val="center"/>
          </w:tcPr>
          <w:p>
            <w:pPr>
              <w:spacing w:line="240" w:lineRule="exact"/>
              <w:jc w:val="center"/>
              <w:rPr>
                <w:rFonts w:hint="eastAsia" w:ascii="Times New Roman" w:hAnsi="Times New Roman" w:eastAsia="仿宋_GB2312" w:cs="Times New Roman"/>
                <w:sz w:val="20"/>
                <w:szCs w:val="20"/>
                <w:lang w:val="en-US" w:eastAsia="zh-CN"/>
              </w:rPr>
            </w:pPr>
            <w:r>
              <w:rPr>
                <w:rFonts w:hint="eastAsia" w:ascii="仿宋" w:hAnsi="仿宋" w:eastAsia="仿宋" w:cs="仿宋"/>
                <w:color w:val="000000"/>
                <w:kern w:val="0"/>
                <w:sz w:val="18"/>
                <w:szCs w:val="18"/>
              </w:rPr>
              <w:t>≥</w:t>
            </w:r>
            <w:r>
              <w:rPr>
                <w:rFonts w:hint="eastAsia" w:ascii="仿宋" w:hAnsi="仿宋" w:eastAsia="仿宋" w:cs="仿宋"/>
                <w:color w:val="000000"/>
                <w:kern w:val="0"/>
                <w:sz w:val="18"/>
                <w:szCs w:val="18"/>
                <w:lang w:val="en-US" w:eastAsia="zh-CN"/>
              </w:rPr>
              <w:t>8</w:t>
            </w:r>
            <w:r>
              <w:rPr>
                <w:rFonts w:hint="eastAsia" w:ascii="Times New Roman" w:hAnsi="Times New Roman" w:eastAsia="仿宋_GB2312" w:cs="Times New Roman"/>
                <w:sz w:val="20"/>
                <w:szCs w:val="20"/>
                <w:lang w:val="en-US" w:eastAsia="zh-CN"/>
              </w:rPr>
              <w:t>00条</w:t>
            </w:r>
          </w:p>
        </w:tc>
        <w:tc>
          <w:tcPr>
            <w:tcW w:w="1269" w:type="dxa"/>
            <w:tcBorders>
              <w:top w:val="nil"/>
              <w:left w:val="nil"/>
              <w:bottom w:val="single" w:color="auto" w:sz="4" w:space="0"/>
              <w:right w:val="single" w:color="auto" w:sz="4" w:space="0"/>
            </w:tcBorders>
            <w:vAlign w:val="center"/>
          </w:tcPr>
          <w:p>
            <w:pPr>
              <w:spacing w:line="24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825</w:t>
            </w:r>
          </w:p>
        </w:tc>
        <w:tc>
          <w:tcPr>
            <w:tcW w:w="716" w:type="dxa"/>
            <w:tcBorders>
              <w:top w:val="nil"/>
              <w:left w:val="nil"/>
              <w:bottom w:val="single" w:color="auto" w:sz="4" w:space="0"/>
              <w:right w:val="single" w:color="auto" w:sz="4" w:space="0"/>
            </w:tcBorders>
            <w:vAlign w:val="center"/>
          </w:tcPr>
          <w:p>
            <w:pPr>
              <w:spacing w:line="24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5</w:t>
            </w:r>
          </w:p>
        </w:tc>
        <w:tc>
          <w:tcPr>
            <w:tcW w:w="873" w:type="dxa"/>
            <w:tcBorders>
              <w:top w:val="nil"/>
              <w:left w:val="nil"/>
              <w:bottom w:val="single" w:color="auto" w:sz="4" w:space="0"/>
              <w:right w:val="single" w:color="auto" w:sz="4" w:space="0"/>
            </w:tcBorders>
            <w:vAlign w:val="center"/>
          </w:tcPr>
          <w:p>
            <w:pPr>
              <w:spacing w:line="24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5</w:t>
            </w:r>
          </w:p>
        </w:tc>
        <w:tc>
          <w:tcPr>
            <w:tcW w:w="144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p>
        </w:tc>
      </w:tr>
      <w:tr>
        <w:tblPrEx>
          <w:tblLayout w:type="fixed"/>
          <w:tblCellMar>
            <w:top w:w="0" w:type="dxa"/>
            <w:left w:w="108" w:type="dxa"/>
            <w:bottom w:w="0" w:type="dxa"/>
            <w:right w:w="108" w:type="dxa"/>
          </w:tblCellMar>
        </w:tblPrEx>
        <w:trPr>
          <w:trHeight w:val="490" w:hRule="atLeast"/>
          <w:jc w:val="center"/>
        </w:trPr>
        <w:tc>
          <w:tcPr>
            <w:tcW w:w="1080" w:type="dxa"/>
            <w:vMerge w:val="continue"/>
            <w:tcBorders>
              <w:left w:val="single" w:color="auto" w:sz="4" w:space="0"/>
              <w:right w:val="single" w:color="auto" w:sz="4" w:space="0"/>
            </w:tcBorders>
            <w:vAlign w:val="center"/>
          </w:tcPr>
          <w:p>
            <w:pPr>
              <w:spacing w:line="240" w:lineRule="exact"/>
              <w:rPr>
                <w:rFonts w:ascii="Times New Roman" w:hAnsi="Times New Roman" w:eastAsia="仿宋_GB2312" w:cs="Times New Roman"/>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p>
        </w:tc>
        <w:tc>
          <w:tcPr>
            <w:tcW w:w="1034"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p>
        </w:tc>
        <w:tc>
          <w:tcPr>
            <w:tcW w:w="12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eastAsia="zh-CN"/>
              </w:rPr>
              <w:t>监测报告报送完成率</w:t>
            </w:r>
          </w:p>
        </w:tc>
        <w:tc>
          <w:tcPr>
            <w:tcW w:w="1311" w:type="dxa"/>
            <w:tcBorders>
              <w:top w:val="nil"/>
              <w:left w:val="nil"/>
              <w:bottom w:val="single" w:color="auto" w:sz="4" w:space="0"/>
              <w:right w:val="single" w:color="auto" w:sz="4" w:space="0"/>
            </w:tcBorders>
            <w:vAlign w:val="center"/>
          </w:tcPr>
          <w:p>
            <w:pPr>
              <w:spacing w:line="24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100%</w:t>
            </w:r>
          </w:p>
        </w:tc>
        <w:tc>
          <w:tcPr>
            <w:tcW w:w="1269" w:type="dxa"/>
            <w:tcBorders>
              <w:top w:val="nil"/>
              <w:left w:val="nil"/>
              <w:bottom w:val="single" w:color="auto" w:sz="4" w:space="0"/>
              <w:right w:val="single" w:color="auto" w:sz="4" w:space="0"/>
            </w:tcBorders>
            <w:vAlign w:val="center"/>
          </w:tcPr>
          <w:p>
            <w:pPr>
              <w:spacing w:line="24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100%</w:t>
            </w:r>
          </w:p>
        </w:tc>
        <w:tc>
          <w:tcPr>
            <w:tcW w:w="716" w:type="dxa"/>
            <w:tcBorders>
              <w:top w:val="nil"/>
              <w:left w:val="nil"/>
              <w:bottom w:val="single" w:color="auto" w:sz="4" w:space="0"/>
              <w:right w:val="single" w:color="auto" w:sz="4" w:space="0"/>
            </w:tcBorders>
            <w:vAlign w:val="center"/>
          </w:tcPr>
          <w:p>
            <w:pPr>
              <w:spacing w:line="24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5</w:t>
            </w:r>
          </w:p>
        </w:tc>
        <w:tc>
          <w:tcPr>
            <w:tcW w:w="873" w:type="dxa"/>
            <w:tcBorders>
              <w:top w:val="nil"/>
              <w:left w:val="nil"/>
              <w:bottom w:val="single" w:color="auto" w:sz="4" w:space="0"/>
              <w:right w:val="single" w:color="auto" w:sz="4" w:space="0"/>
            </w:tcBorders>
            <w:vAlign w:val="center"/>
          </w:tcPr>
          <w:p>
            <w:pPr>
              <w:spacing w:line="24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5</w:t>
            </w:r>
          </w:p>
        </w:tc>
        <w:tc>
          <w:tcPr>
            <w:tcW w:w="144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p>
        </w:tc>
      </w:tr>
      <w:tr>
        <w:tblPrEx>
          <w:tblLayout w:type="fixed"/>
          <w:tblCellMar>
            <w:top w:w="0" w:type="dxa"/>
            <w:left w:w="108" w:type="dxa"/>
            <w:bottom w:w="0" w:type="dxa"/>
            <w:right w:w="108" w:type="dxa"/>
          </w:tblCellMar>
        </w:tblPrEx>
        <w:trPr>
          <w:trHeight w:val="730" w:hRule="atLeast"/>
          <w:jc w:val="center"/>
        </w:trPr>
        <w:tc>
          <w:tcPr>
            <w:tcW w:w="1080" w:type="dxa"/>
            <w:vMerge w:val="continue"/>
            <w:tcBorders>
              <w:left w:val="single" w:color="auto" w:sz="4" w:space="0"/>
              <w:right w:val="single" w:color="auto" w:sz="4" w:space="0"/>
            </w:tcBorders>
            <w:vAlign w:val="center"/>
          </w:tcPr>
          <w:p>
            <w:pPr>
              <w:spacing w:line="240" w:lineRule="exact"/>
              <w:rPr>
                <w:rFonts w:ascii="Times New Roman" w:hAnsi="Times New Roman" w:eastAsia="仿宋_GB2312" w:cs="Times New Roman"/>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p>
        </w:tc>
        <w:tc>
          <w:tcPr>
            <w:tcW w:w="103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时效指标</w:t>
            </w:r>
          </w:p>
        </w:tc>
        <w:tc>
          <w:tcPr>
            <w:tcW w:w="1270" w:type="dxa"/>
            <w:tcBorders>
              <w:top w:val="single" w:color="auto" w:sz="4" w:space="0"/>
              <w:left w:val="single" w:color="auto" w:sz="4" w:space="0"/>
              <w:bottom w:val="single" w:color="auto" w:sz="4" w:space="0"/>
              <w:right w:val="single" w:color="auto" w:sz="4" w:space="0"/>
            </w:tcBorders>
            <w:vAlign w:val="bottom"/>
          </w:tcPr>
          <w:p>
            <w:pPr>
              <w:widowControl/>
              <w:spacing w:line="240" w:lineRule="exact"/>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任务完成时</w:t>
            </w:r>
            <w:r>
              <w:rPr>
                <w:rFonts w:hint="eastAsia" w:ascii="仿宋" w:hAnsi="仿宋" w:eastAsia="仿宋" w:cs="仿宋"/>
                <w:color w:val="000000"/>
                <w:kern w:val="0"/>
                <w:sz w:val="18"/>
                <w:szCs w:val="18"/>
                <w:lang w:eastAsia="zh-CN"/>
              </w:rPr>
              <w:t>间</w:t>
            </w:r>
          </w:p>
          <w:p>
            <w:pPr>
              <w:spacing w:line="240" w:lineRule="exact"/>
              <w:jc w:val="center"/>
              <w:rPr>
                <w:rFonts w:ascii="Times New Roman" w:hAnsi="Times New Roman" w:eastAsia="仿宋_GB2312" w:cs="Times New Roman"/>
                <w:sz w:val="20"/>
                <w:szCs w:val="20"/>
              </w:rPr>
            </w:pPr>
          </w:p>
        </w:tc>
        <w:tc>
          <w:tcPr>
            <w:tcW w:w="131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sz w:val="20"/>
                <w:szCs w:val="20"/>
              </w:rPr>
            </w:pPr>
            <w:r>
              <w:rPr>
                <w:rFonts w:hint="eastAsia" w:ascii="仿宋" w:hAnsi="仿宋" w:eastAsia="仿宋" w:cs="仿宋"/>
                <w:color w:val="000000"/>
                <w:kern w:val="0"/>
                <w:sz w:val="18"/>
                <w:szCs w:val="18"/>
              </w:rPr>
              <w:t>202</w:t>
            </w:r>
            <w:r>
              <w:rPr>
                <w:rFonts w:hint="eastAsia" w:ascii="仿宋" w:hAnsi="仿宋" w:eastAsia="仿宋" w:cs="仿宋"/>
                <w:color w:val="000000"/>
                <w:kern w:val="0"/>
                <w:sz w:val="18"/>
                <w:szCs w:val="18"/>
                <w:lang w:val="en-US" w:eastAsia="zh-CN"/>
              </w:rPr>
              <w:t>3</w:t>
            </w:r>
            <w:r>
              <w:rPr>
                <w:rFonts w:hint="eastAsia" w:ascii="仿宋" w:hAnsi="仿宋" w:eastAsia="仿宋" w:cs="仿宋"/>
                <w:color w:val="000000"/>
                <w:kern w:val="0"/>
                <w:sz w:val="18"/>
                <w:szCs w:val="18"/>
              </w:rPr>
              <w:t>年12月31日前</w:t>
            </w:r>
          </w:p>
        </w:tc>
        <w:tc>
          <w:tcPr>
            <w:tcW w:w="12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sz w:val="20"/>
                <w:szCs w:val="20"/>
              </w:rPr>
            </w:pPr>
            <w:r>
              <w:rPr>
                <w:rFonts w:hint="eastAsia" w:ascii="仿宋" w:hAnsi="仿宋" w:eastAsia="仿宋" w:cs="仿宋"/>
                <w:color w:val="000000"/>
                <w:kern w:val="0"/>
                <w:sz w:val="18"/>
                <w:szCs w:val="18"/>
              </w:rPr>
              <w:t>202</w:t>
            </w:r>
            <w:r>
              <w:rPr>
                <w:rFonts w:hint="eastAsia" w:ascii="仿宋" w:hAnsi="仿宋" w:eastAsia="仿宋" w:cs="仿宋"/>
                <w:color w:val="000000"/>
                <w:kern w:val="0"/>
                <w:sz w:val="18"/>
                <w:szCs w:val="18"/>
                <w:lang w:val="en-US" w:eastAsia="zh-CN"/>
              </w:rPr>
              <w:t>3</w:t>
            </w:r>
            <w:r>
              <w:rPr>
                <w:rFonts w:hint="eastAsia" w:ascii="仿宋" w:hAnsi="仿宋" w:eastAsia="仿宋" w:cs="仿宋"/>
                <w:color w:val="000000"/>
                <w:kern w:val="0"/>
                <w:sz w:val="18"/>
                <w:szCs w:val="18"/>
              </w:rPr>
              <w:t>年12月31日前</w:t>
            </w:r>
          </w:p>
        </w:tc>
        <w:tc>
          <w:tcPr>
            <w:tcW w:w="7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sz w:val="20"/>
                <w:szCs w:val="20"/>
              </w:rPr>
            </w:pPr>
            <w:r>
              <w:rPr>
                <w:rFonts w:hint="eastAsia" w:ascii="仿宋" w:hAnsi="仿宋" w:eastAsia="仿宋" w:cs="仿宋"/>
                <w:color w:val="000000"/>
                <w:kern w:val="0"/>
                <w:sz w:val="18"/>
                <w:szCs w:val="18"/>
                <w:lang w:val="en-US" w:eastAsia="zh-CN"/>
              </w:rPr>
              <w:t>7</w:t>
            </w:r>
          </w:p>
        </w:tc>
        <w:tc>
          <w:tcPr>
            <w:tcW w:w="144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rPr>
                <w:rFonts w:ascii="Times New Roman" w:hAnsi="Times New Roman" w:eastAsia="仿宋_GB2312" w:cs="Times New Roman"/>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p>
        </w:tc>
        <w:tc>
          <w:tcPr>
            <w:tcW w:w="103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成本指标</w:t>
            </w:r>
          </w:p>
        </w:tc>
        <w:tc>
          <w:tcPr>
            <w:tcW w:w="127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hint="eastAsia" w:ascii="仿宋" w:hAnsi="仿宋" w:eastAsia="仿宋" w:cs="仿宋"/>
                <w:color w:val="000000"/>
                <w:kern w:val="0"/>
                <w:sz w:val="18"/>
                <w:szCs w:val="18"/>
              </w:rPr>
              <w:t>开展</w:t>
            </w:r>
            <w:r>
              <w:rPr>
                <w:rFonts w:hint="eastAsia" w:ascii="仿宋" w:hAnsi="仿宋" w:eastAsia="仿宋" w:cs="仿宋"/>
                <w:color w:val="000000"/>
                <w:kern w:val="0"/>
                <w:sz w:val="18"/>
                <w:szCs w:val="18"/>
                <w:lang w:eastAsia="zh-CN"/>
              </w:rPr>
              <w:t>网络监测相关法律知识</w:t>
            </w:r>
            <w:r>
              <w:rPr>
                <w:rFonts w:hint="eastAsia" w:ascii="仿宋" w:hAnsi="仿宋" w:eastAsia="仿宋" w:cs="仿宋"/>
                <w:color w:val="000000"/>
                <w:kern w:val="0"/>
                <w:sz w:val="18"/>
                <w:szCs w:val="18"/>
              </w:rPr>
              <w:t>业务培训</w:t>
            </w:r>
            <w:r>
              <w:rPr>
                <w:rFonts w:hint="eastAsia" w:ascii="仿宋" w:hAnsi="仿宋" w:eastAsia="仿宋" w:cs="仿宋"/>
                <w:color w:val="000000"/>
                <w:kern w:val="0"/>
                <w:sz w:val="18"/>
                <w:szCs w:val="18"/>
                <w:lang w:eastAsia="zh-CN"/>
              </w:rPr>
              <w:t>成本</w:t>
            </w:r>
          </w:p>
        </w:tc>
        <w:tc>
          <w:tcPr>
            <w:tcW w:w="1311"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sz w:val="20"/>
                <w:szCs w:val="20"/>
              </w:rPr>
            </w:pPr>
            <w:r>
              <w:rPr>
                <w:rFonts w:hint="eastAsia" w:ascii="仿宋" w:hAnsi="仿宋" w:eastAsia="仿宋" w:cs="仿宋"/>
                <w:color w:val="000000"/>
                <w:kern w:val="0"/>
                <w:sz w:val="18"/>
                <w:szCs w:val="18"/>
                <w:lang w:val="en-US" w:eastAsia="zh-CN"/>
              </w:rPr>
              <w:t xml:space="preserve">440元/人/天550元/人/天   </w:t>
            </w:r>
          </w:p>
        </w:tc>
        <w:tc>
          <w:tcPr>
            <w:tcW w:w="126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sz w:val="20"/>
                <w:szCs w:val="20"/>
              </w:rPr>
            </w:pPr>
            <w:r>
              <w:rPr>
                <w:rFonts w:hint="eastAsia" w:ascii="仿宋" w:hAnsi="仿宋" w:eastAsia="仿宋" w:cs="仿宋"/>
                <w:color w:val="000000"/>
                <w:kern w:val="0"/>
                <w:sz w:val="18"/>
                <w:szCs w:val="18"/>
                <w:lang w:val="en-US" w:eastAsia="zh-CN"/>
              </w:rPr>
              <w:t>440元/人/天550元/人/天</w:t>
            </w:r>
          </w:p>
        </w:tc>
        <w:tc>
          <w:tcPr>
            <w:tcW w:w="71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10</w:t>
            </w:r>
          </w:p>
        </w:tc>
        <w:tc>
          <w:tcPr>
            <w:tcW w:w="87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10</w:t>
            </w:r>
          </w:p>
        </w:tc>
        <w:tc>
          <w:tcPr>
            <w:tcW w:w="1446" w:type="dxa"/>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p>
        </w:tc>
      </w:tr>
      <w:tr>
        <w:tblPrEx>
          <w:tblLayout w:type="fixed"/>
          <w:tblCellMar>
            <w:top w:w="0" w:type="dxa"/>
            <w:left w:w="108" w:type="dxa"/>
            <w:bottom w:w="0" w:type="dxa"/>
            <w:right w:w="108" w:type="dxa"/>
          </w:tblCellMar>
        </w:tblPrEx>
        <w:trPr>
          <w:trHeight w:val="775" w:hRule="atLeast"/>
          <w:jc w:val="center"/>
        </w:trPr>
        <w:tc>
          <w:tcPr>
            <w:tcW w:w="1080" w:type="dxa"/>
            <w:vMerge w:val="continue"/>
            <w:tcBorders>
              <w:left w:val="single" w:color="auto" w:sz="4" w:space="0"/>
              <w:right w:val="single" w:color="auto" w:sz="4" w:space="0"/>
            </w:tcBorders>
            <w:vAlign w:val="center"/>
          </w:tcPr>
          <w:p>
            <w:pPr>
              <w:spacing w:line="240" w:lineRule="exact"/>
              <w:rPr>
                <w:rFonts w:ascii="Times New Roman" w:hAnsi="Times New Roman" w:eastAsia="仿宋_GB2312" w:cs="Times New Roman"/>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效益指标</w:t>
            </w:r>
          </w:p>
          <w:p>
            <w:pPr>
              <w:spacing w:line="240" w:lineRule="exact"/>
              <w:rPr>
                <w:rFonts w:ascii="Times New Roman" w:hAnsi="Times New Roman" w:eastAsia="仿宋_GB2312" w:cs="Times New Roman"/>
                <w:sz w:val="20"/>
                <w:szCs w:val="20"/>
              </w:rPr>
            </w:pPr>
          </w:p>
          <w:p>
            <w:pPr>
              <w:spacing w:line="24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（30分）</w:t>
            </w:r>
          </w:p>
          <w:p>
            <w:pPr>
              <w:spacing w:line="240" w:lineRule="exact"/>
              <w:rPr>
                <w:rFonts w:ascii="Times New Roman" w:hAnsi="Times New Roman" w:eastAsia="仿宋_GB2312" w:cs="Times New Roman"/>
                <w:sz w:val="20"/>
                <w:szCs w:val="20"/>
              </w:rPr>
            </w:pPr>
          </w:p>
        </w:tc>
        <w:tc>
          <w:tcPr>
            <w:tcW w:w="103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社会效</w:t>
            </w:r>
          </w:p>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益指标</w:t>
            </w:r>
          </w:p>
        </w:tc>
        <w:tc>
          <w:tcPr>
            <w:tcW w:w="1270" w:type="dxa"/>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rPr>
              <w:t>网络</w:t>
            </w:r>
            <w:r>
              <w:rPr>
                <w:rFonts w:hint="eastAsia" w:ascii="Times New Roman" w:hAnsi="Times New Roman" w:eastAsia="仿宋_GB2312" w:cs="Times New Roman"/>
                <w:sz w:val="20"/>
                <w:szCs w:val="20"/>
                <w:lang w:eastAsia="zh-CN"/>
              </w:rPr>
              <w:t>商品交易</w:t>
            </w:r>
            <w:r>
              <w:rPr>
                <w:rFonts w:hint="eastAsia" w:ascii="Times New Roman" w:hAnsi="Times New Roman" w:eastAsia="仿宋_GB2312" w:cs="Times New Roman"/>
                <w:sz w:val="20"/>
                <w:szCs w:val="20"/>
              </w:rPr>
              <w:t>环境</w:t>
            </w:r>
            <w:r>
              <w:rPr>
                <w:rFonts w:hint="eastAsia" w:ascii="Times New Roman" w:hAnsi="Times New Roman" w:eastAsia="仿宋_GB2312" w:cs="Times New Roman"/>
                <w:sz w:val="20"/>
                <w:szCs w:val="20"/>
                <w:lang w:eastAsia="zh-CN"/>
              </w:rPr>
              <w:t>维护</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sz w:val="20"/>
                <w:szCs w:val="20"/>
              </w:rPr>
            </w:pPr>
            <w:r>
              <w:rPr>
                <w:rFonts w:hint="eastAsia" w:ascii="仿宋" w:hAnsi="仿宋" w:eastAsia="仿宋" w:cs="仿宋"/>
                <w:color w:val="000000"/>
                <w:kern w:val="0"/>
                <w:sz w:val="18"/>
                <w:szCs w:val="18"/>
              </w:rPr>
              <w:t>逐步</w:t>
            </w:r>
            <w:r>
              <w:rPr>
                <w:rFonts w:hint="eastAsia" w:ascii="仿宋" w:hAnsi="仿宋" w:eastAsia="仿宋" w:cs="仿宋"/>
                <w:color w:val="000000"/>
                <w:kern w:val="0"/>
                <w:sz w:val="18"/>
                <w:szCs w:val="18"/>
                <w:lang w:eastAsia="zh-CN"/>
              </w:rPr>
              <w:t>完善</w:t>
            </w:r>
            <w:r>
              <w:rPr>
                <w:rFonts w:hint="eastAsia" w:ascii="仿宋" w:hAnsi="仿宋" w:eastAsia="仿宋" w:cs="仿宋"/>
                <w:color w:val="000000"/>
                <w:kern w:val="0"/>
                <w:sz w:val="18"/>
                <w:szCs w:val="18"/>
              </w:rPr>
              <w:t>提升</w:t>
            </w:r>
          </w:p>
        </w:tc>
        <w:tc>
          <w:tcPr>
            <w:tcW w:w="12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sz w:val="20"/>
                <w:szCs w:val="20"/>
              </w:rPr>
            </w:pPr>
            <w:r>
              <w:rPr>
                <w:rFonts w:hint="eastAsia" w:ascii="仿宋" w:hAnsi="仿宋" w:eastAsia="仿宋" w:cs="仿宋"/>
                <w:color w:val="000000"/>
                <w:kern w:val="0"/>
                <w:sz w:val="18"/>
                <w:szCs w:val="18"/>
              </w:rPr>
              <w:t>逐步</w:t>
            </w:r>
            <w:r>
              <w:rPr>
                <w:rFonts w:hint="eastAsia" w:ascii="仿宋" w:hAnsi="仿宋" w:eastAsia="仿宋" w:cs="仿宋"/>
                <w:color w:val="000000"/>
                <w:kern w:val="0"/>
                <w:sz w:val="18"/>
                <w:szCs w:val="18"/>
                <w:lang w:eastAsia="zh-CN"/>
              </w:rPr>
              <w:t>完善</w:t>
            </w:r>
            <w:r>
              <w:rPr>
                <w:rFonts w:hint="eastAsia" w:ascii="仿宋" w:hAnsi="仿宋" w:eastAsia="仿宋" w:cs="仿宋"/>
                <w:color w:val="000000"/>
                <w:kern w:val="0"/>
                <w:sz w:val="18"/>
                <w:szCs w:val="18"/>
              </w:rPr>
              <w:t>提升</w:t>
            </w:r>
          </w:p>
        </w:tc>
        <w:tc>
          <w:tcPr>
            <w:tcW w:w="71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sz w:val="20"/>
                <w:szCs w:val="20"/>
              </w:rPr>
            </w:pPr>
            <w:r>
              <w:rPr>
                <w:rFonts w:hint="eastAsia" w:ascii="仿宋" w:hAnsi="仿宋" w:eastAsia="仿宋" w:cs="仿宋"/>
                <w:color w:val="000000"/>
                <w:kern w:val="0"/>
                <w:sz w:val="18"/>
                <w:szCs w:val="18"/>
                <w:lang w:val="en-US" w:eastAsia="zh-CN"/>
              </w:rPr>
              <w:t>15</w:t>
            </w:r>
          </w:p>
        </w:tc>
        <w:tc>
          <w:tcPr>
            <w:tcW w:w="87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sz w:val="20"/>
                <w:szCs w:val="20"/>
              </w:rPr>
            </w:pPr>
            <w:r>
              <w:rPr>
                <w:rFonts w:hint="eastAsia" w:ascii="仿宋" w:hAnsi="仿宋" w:eastAsia="仿宋" w:cs="仿宋"/>
                <w:color w:val="000000"/>
                <w:kern w:val="0"/>
                <w:sz w:val="18"/>
                <w:szCs w:val="18"/>
                <w:lang w:val="en-US" w:eastAsia="zh-CN"/>
              </w:rPr>
              <w:t>15</w:t>
            </w:r>
          </w:p>
        </w:tc>
        <w:tc>
          <w:tcPr>
            <w:tcW w:w="144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p>
        </w:tc>
      </w:tr>
      <w:tr>
        <w:tblPrEx>
          <w:tblLayout w:type="fixed"/>
          <w:tblCellMar>
            <w:top w:w="0" w:type="dxa"/>
            <w:left w:w="108" w:type="dxa"/>
            <w:bottom w:w="0" w:type="dxa"/>
            <w:right w:w="108" w:type="dxa"/>
          </w:tblCellMar>
        </w:tblPrEx>
        <w:trPr>
          <w:trHeight w:val="625" w:hRule="atLeast"/>
          <w:jc w:val="center"/>
        </w:trPr>
        <w:tc>
          <w:tcPr>
            <w:tcW w:w="1080" w:type="dxa"/>
            <w:vMerge w:val="continue"/>
            <w:tcBorders>
              <w:left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rPr>
                <w:rFonts w:ascii="Times New Roman" w:hAnsi="Times New Roman" w:eastAsia="仿宋_GB2312" w:cs="Times New Roman"/>
                <w:sz w:val="20"/>
                <w:szCs w:val="20"/>
              </w:rPr>
            </w:pPr>
          </w:p>
        </w:tc>
        <w:tc>
          <w:tcPr>
            <w:tcW w:w="103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可持续影响指标</w:t>
            </w:r>
          </w:p>
        </w:tc>
        <w:tc>
          <w:tcPr>
            <w:tcW w:w="12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sz w:val="20"/>
                <w:szCs w:val="20"/>
              </w:rPr>
            </w:pPr>
            <w:r>
              <w:rPr>
                <w:rFonts w:hint="eastAsia" w:ascii="仿宋" w:hAnsi="仿宋" w:eastAsia="仿宋" w:cs="仿宋"/>
                <w:color w:val="000000"/>
                <w:kern w:val="0"/>
                <w:sz w:val="18"/>
                <w:szCs w:val="18"/>
              </w:rPr>
              <w:t>优化</w:t>
            </w:r>
            <w:r>
              <w:rPr>
                <w:rFonts w:hint="eastAsia" w:ascii="仿宋" w:hAnsi="仿宋" w:eastAsia="仿宋" w:cs="仿宋"/>
                <w:color w:val="000000"/>
                <w:kern w:val="0"/>
                <w:sz w:val="18"/>
                <w:szCs w:val="18"/>
                <w:lang w:eastAsia="zh-CN"/>
              </w:rPr>
              <w:t>网络商品交易</w:t>
            </w:r>
            <w:r>
              <w:rPr>
                <w:rFonts w:hint="eastAsia" w:ascii="仿宋" w:hAnsi="仿宋" w:eastAsia="仿宋" w:cs="仿宋"/>
                <w:color w:val="000000"/>
                <w:kern w:val="0"/>
                <w:sz w:val="18"/>
                <w:szCs w:val="18"/>
              </w:rPr>
              <w:t>环境</w:t>
            </w:r>
          </w:p>
        </w:tc>
        <w:tc>
          <w:tcPr>
            <w:tcW w:w="131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sz w:val="20"/>
                <w:szCs w:val="20"/>
              </w:rPr>
            </w:pPr>
            <w:r>
              <w:rPr>
                <w:rFonts w:hint="eastAsia" w:ascii="仿宋" w:hAnsi="仿宋" w:eastAsia="仿宋" w:cs="仿宋"/>
                <w:color w:val="000000"/>
                <w:kern w:val="0"/>
                <w:sz w:val="18"/>
                <w:szCs w:val="18"/>
              </w:rPr>
              <w:t>进一步优化</w:t>
            </w:r>
          </w:p>
        </w:tc>
        <w:tc>
          <w:tcPr>
            <w:tcW w:w="12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sz w:val="20"/>
                <w:szCs w:val="20"/>
              </w:rPr>
            </w:pPr>
            <w:r>
              <w:rPr>
                <w:rFonts w:hint="eastAsia" w:ascii="仿宋" w:hAnsi="仿宋" w:eastAsia="仿宋" w:cs="仿宋"/>
                <w:color w:val="000000"/>
                <w:kern w:val="0"/>
                <w:sz w:val="18"/>
                <w:szCs w:val="18"/>
              </w:rPr>
              <w:t>进一步优化</w:t>
            </w:r>
          </w:p>
        </w:tc>
        <w:tc>
          <w:tcPr>
            <w:tcW w:w="7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sz w:val="20"/>
                <w:szCs w:val="20"/>
              </w:rPr>
            </w:pPr>
            <w:r>
              <w:rPr>
                <w:rFonts w:hint="eastAsia" w:ascii="仿宋" w:hAnsi="仿宋" w:eastAsia="仿宋" w:cs="仿宋"/>
                <w:color w:val="000000"/>
                <w:kern w:val="0"/>
                <w:sz w:val="18"/>
                <w:szCs w:val="18"/>
                <w:lang w:val="en-US" w:eastAsia="zh-CN"/>
              </w:rPr>
              <w:t>15</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sz w:val="20"/>
                <w:szCs w:val="20"/>
              </w:rPr>
            </w:pPr>
            <w:r>
              <w:rPr>
                <w:rFonts w:hint="eastAsia" w:ascii="仿宋" w:hAnsi="仿宋" w:eastAsia="仿宋" w:cs="仿宋"/>
                <w:color w:val="000000"/>
                <w:kern w:val="0"/>
                <w:sz w:val="18"/>
                <w:szCs w:val="18"/>
                <w:lang w:val="en-US" w:eastAsia="zh-CN"/>
              </w:rPr>
              <w:t>15</w:t>
            </w:r>
          </w:p>
        </w:tc>
        <w:tc>
          <w:tcPr>
            <w:tcW w:w="144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sz w:val="20"/>
                <w:szCs w:val="20"/>
              </w:rPr>
            </w:pPr>
          </w:p>
        </w:tc>
      </w:tr>
      <w:tr>
        <w:tblPrEx>
          <w:tblLayout w:type="fixed"/>
          <w:tblCellMar>
            <w:top w:w="0" w:type="dxa"/>
            <w:left w:w="108" w:type="dxa"/>
            <w:bottom w:w="0" w:type="dxa"/>
            <w:right w:w="108" w:type="dxa"/>
          </w:tblCellMar>
        </w:tblPrEx>
        <w:trPr>
          <w:trHeight w:val="970" w:hRule="atLeast"/>
          <w:jc w:val="center"/>
        </w:trPr>
        <w:tc>
          <w:tcPr>
            <w:tcW w:w="1080" w:type="dxa"/>
            <w:vMerge w:val="continue"/>
            <w:tcBorders>
              <w:left w:val="single" w:color="auto" w:sz="4" w:space="0"/>
              <w:right w:val="single" w:color="auto" w:sz="4" w:space="0"/>
            </w:tcBorders>
            <w:vAlign w:val="center"/>
          </w:tcPr>
          <w:p>
            <w:pPr>
              <w:spacing w:line="240" w:lineRule="exact"/>
              <w:rPr>
                <w:rFonts w:ascii="Times New Roman" w:hAnsi="Times New Roman" w:eastAsia="仿宋_GB2312" w:cs="Times New Roman"/>
                <w:sz w:val="20"/>
                <w:szCs w:val="20"/>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满意度</w:t>
            </w:r>
          </w:p>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指标</w:t>
            </w:r>
          </w:p>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（10分）</w:t>
            </w:r>
          </w:p>
        </w:tc>
        <w:tc>
          <w:tcPr>
            <w:tcW w:w="103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服务对象满意度指标</w:t>
            </w:r>
          </w:p>
        </w:tc>
        <w:tc>
          <w:tcPr>
            <w:tcW w:w="1270"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sz w:val="20"/>
                <w:szCs w:val="20"/>
              </w:rPr>
            </w:pPr>
            <w:r>
              <w:rPr>
                <w:rFonts w:hint="eastAsia" w:ascii="仿宋" w:hAnsi="仿宋" w:eastAsia="仿宋" w:cs="仿宋"/>
                <w:color w:val="000000"/>
                <w:kern w:val="0"/>
                <w:sz w:val="18"/>
                <w:szCs w:val="18"/>
              </w:rPr>
              <w:t>业务处室满意度</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sz w:val="20"/>
                <w:szCs w:val="20"/>
              </w:rPr>
            </w:pPr>
            <w:r>
              <w:rPr>
                <w:rFonts w:hint="eastAsia" w:ascii="仿宋" w:hAnsi="仿宋" w:eastAsia="仿宋" w:cs="仿宋"/>
                <w:color w:val="000000"/>
                <w:kern w:val="0"/>
                <w:sz w:val="18"/>
                <w:szCs w:val="18"/>
              </w:rPr>
              <w:t>≧</w:t>
            </w:r>
            <w:r>
              <w:rPr>
                <w:rFonts w:hint="eastAsia" w:ascii="仿宋" w:hAnsi="仿宋" w:eastAsia="仿宋" w:cs="仿宋"/>
                <w:color w:val="000000"/>
                <w:kern w:val="0"/>
                <w:sz w:val="18"/>
                <w:szCs w:val="18"/>
                <w:lang w:val="en-US" w:eastAsia="zh-CN"/>
              </w:rPr>
              <w:t>9</w:t>
            </w:r>
            <w:r>
              <w:rPr>
                <w:rFonts w:hint="eastAsia" w:ascii="仿宋" w:hAnsi="仿宋" w:eastAsia="仿宋" w:cs="仿宋"/>
                <w:color w:val="000000"/>
                <w:kern w:val="0"/>
                <w:sz w:val="18"/>
                <w:szCs w:val="18"/>
              </w:rPr>
              <w:t>0%</w:t>
            </w:r>
          </w:p>
        </w:tc>
        <w:tc>
          <w:tcPr>
            <w:tcW w:w="12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sz w:val="20"/>
                <w:szCs w:val="20"/>
              </w:rPr>
            </w:pPr>
            <w:r>
              <w:rPr>
                <w:rFonts w:hint="eastAsia" w:ascii="仿宋" w:hAnsi="仿宋" w:eastAsia="仿宋" w:cs="仿宋"/>
                <w:color w:val="000000"/>
                <w:kern w:val="0"/>
                <w:sz w:val="18"/>
                <w:szCs w:val="18"/>
                <w:lang w:val="en-US" w:eastAsia="zh-CN"/>
              </w:rPr>
              <w:t>90%</w:t>
            </w:r>
          </w:p>
        </w:tc>
        <w:tc>
          <w:tcPr>
            <w:tcW w:w="71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sz w:val="20"/>
                <w:szCs w:val="20"/>
              </w:rPr>
            </w:pPr>
            <w:r>
              <w:rPr>
                <w:rFonts w:hint="eastAsia" w:ascii="仿宋" w:hAnsi="仿宋" w:eastAsia="仿宋" w:cs="仿宋"/>
                <w:color w:val="000000"/>
                <w:kern w:val="0"/>
                <w:sz w:val="18"/>
                <w:szCs w:val="18"/>
                <w:lang w:val="en-US" w:eastAsia="zh-CN"/>
              </w:rPr>
              <w:t>10</w:t>
            </w:r>
          </w:p>
        </w:tc>
        <w:tc>
          <w:tcPr>
            <w:tcW w:w="87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sz w:val="20"/>
                <w:szCs w:val="20"/>
              </w:rPr>
            </w:pPr>
            <w:r>
              <w:rPr>
                <w:rFonts w:hint="eastAsia" w:ascii="仿宋" w:hAnsi="仿宋" w:eastAsia="仿宋" w:cs="仿宋"/>
                <w:color w:val="000000"/>
                <w:kern w:val="0"/>
                <w:sz w:val="18"/>
                <w:szCs w:val="18"/>
                <w:lang w:val="en-US" w:eastAsia="zh-CN"/>
              </w:rPr>
              <w:t>10</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s="Times New Roman"/>
                <w:sz w:val="20"/>
                <w:szCs w:val="20"/>
              </w:rPr>
            </w:pPr>
          </w:p>
        </w:tc>
      </w:tr>
      <w:tr>
        <w:tblPrEx>
          <w:tblLayout w:type="fixed"/>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总分</w:t>
            </w:r>
          </w:p>
        </w:tc>
        <w:tc>
          <w:tcPr>
            <w:tcW w:w="71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100</w:t>
            </w:r>
          </w:p>
        </w:tc>
        <w:tc>
          <w:tcPr>
            <w:tcW w:w="873" w:type="dxa"/>
            <w:tcBorders>
              <w:top w:val="nil"/>
              <w:left w:val="nil"/>
              <w:bottom w:val="single" w:color="auto" w:sz="4" w:space="0"/>
              <w:right w:val="single" w:color="auto" w:sz="4" w:space="0"/>
            </w:tcBorders>
            <w:vAlign w:val="center"/>
          </w:tcPr>
          <w:p>
            <w:pPr>
              <w:spacing w:line="24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94</w:t>
            </w:r>
          </w:p>
        </w:tc>
        <w:tc>
          <w:tcPr>
            <w:tcW w:w="1446" w:type="dxa"/>
            <w:tcBorders>
              <w:top w:val="nil"/>
              <w:left w:val="nil"/>
              <w:bottom w:val="single" w:color="auto" w:sz="4" w:space="0"/>
              <w:right w:val="single" w:color="auto" w:sz="4" w:space="0"/>
            </w:tcBorders>
            <w:vAlign w:val="center"/>
          </w:tcPr>
          <w:p>
            <w:pPr>
              <w:spacing w:line="240" w:lineRule="exact"/>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bl>
    <w:p>
      <w:pPr>
        <w:spacing w:before="176" w:line="225" w:lineRule="auto"/>
        <w:sectPr>
          <w:pgSz w:w="11905" w:h="16840"/>
          <w:pgMar w:top="1310" w:right="1435" w:bottom="1304" w:left="1436" w:header="0" w:footer="981" w:gutter="0"/>
          <w:pgBorders>
            <w:top w:val="none" w:sz="0" w:space="0"/>
            <w:left w:val="none" w:sz="0" w:space="0"/>
            <w:bottom w:val="none" w:sz="0" w:space="0"/>
            <w:right w:val="none" w:sz="0" w:space="0"/>
          </w:pgBorders>
          <w:pgNumType w:fmt="numberInDash" w:start="1"/>
          <w:cols w:space="720" w:num="1"/>
          <w:rtlGutter w:val="0"/>
          <w:docGrid w:linePitch="0" w:charSpace="0"/>
        </w:sectPr>
      </w:pPr>
      <w:r>
        <w:rPr>
          <w:rFonts w:ascii="微软雅黑" w:hAnsi="微软雅黑" w:eastAsia="微软雅黑" w:cs="微软雅黑"/>
          <w:spacing w:val="-7"/>
        </w:rPr>
        <w:t>填表人：</w:t>
      </w:r>
      <w:r>
        <w:rPr>
          <w:rFonts w:hint="eastAsia" w:ascii="微软雅黑" w:hAnsi="微软雅黑" w:eastAsia="微软雅黑" w:cs="微软雅黑"/>
          <w:spacing w:val="-7"/>
          <w:lang w:eastAsia="zh-CN"/>
        </w:rPr>
        <w:t>宋炀</w:t>
      </w:r>
      <w:r>
        <w:rPr>
          <w:rFonts w:ascii="微软雅黑" w:hAnsi="微软雅黑" w:eastAsia="微软雅黑" w:cs="微软雅黑"/>
          <w:spacing w:val="-7"/>
        </w:rPr>
        <w:t>   填报日期：</w:t>
      </w:r>
      <w:r>
        <w:rPr>
          <w:rFonts w:hint="eastAsia" w:ascii="微软雅黑" w:hAnsi="微软雅黑" w:eastAsia="微软雅黑" w:cs="微软雅黑"/>
          <w:spacing w:val="-7"/>
          <w:lang w:val="en-US" w:eastAsia="zh-CN"/>
        </w:rPr>
        <w:t>2024.03.28</w:t>
      </w:r>
      <w:r>
        <w:rPr>
          <w:rFonts w:ascii="微软雅黑" w:hAnsi="微软雅黑" w:eastAsia="微软雅黑" w:cs="微软雅黑"/>
          <w:spacing w:val="-7"/>
        </w:rPr>
        <w:t>   联系电话：</w:t>
      </w:r>
      <w:r>
        <w:rPr>
          <w:rFonts w:hint="eastAsia" w:ascii="微软雅黑" w:hAnsi="微软雅黑" w:eastAsia="微软雅黑" w:cs="微软雅黑"/>
          <w:spacing w:val="-7"/>
          <w:lang w:val="en-US" w:eastAsia="zh-CN"/>
        </w:rPr>
        <w:t>13507419009</w:t>
      </w:r>
      <w:r>
        <w:rPr>
          <w:rFonts w:ascii="微软雅黑" w:hAnsi="微软雅黑" w:eastAsia="微软雅黑" w:cs="微软雅黑"/>
          <w:spacing w:val="-7"/>
        </w:rPr>
        <w:t>  单位负责人签字</w:t>
      </w:r>
      <w:r>
        <w:rPr>
          <w:rFonts w:ascii="微软雅黑" w:hAnsi="微软雅黑" w:eastAsia="微软雅黑" w:cs="微软雅黑"/>
          <w:spacing w:val="-4"/>
        </w:rPr>
        <w:t>：</w:t>
      </w:r>
      <w:r>
        <w:rPr>
          <w:rFonts w:hint="eastAsia" w:ascii="Times New Roman" w:hAnsi="Times New Roman" w:eastAsia="仿宋_GB2312" w:cs="Times New Roman"/>
          <w:sz w:val="22"/>
          <w:lang w:eastAsia="zh-CN"/>
        </w:rPr>
        <w:t>颜珠容</w:t>
      </w:r>
    </w:p>
    <w:p>
      <w:pPr>
        <w:spacing w:line="268" w:lineRule="auto"/>
      </w:pPr>
    </w:p>
    <w:p>
      <w:pPr>
        <w:spacing w:before="104" w:line="424" w:lineRule="exact"/>
        <w:ind w:left="69"/>
        <w:rPr>
          <w:rFonts w:ascii="Times New Roman" w:hAnsi="Times New Roman" w:eastAsia="Times New Roman" w:cs="Times New Roman"/>
          <w:sz w:val="32"/>
          <w:szCs w:val="32"/>
        </w:rPr>
      </w:pPr>
      <w:r>
        <w:rPr>
          <w:rFonts w:ascii="黑体" w:hAnsi="黑体" w:eastAsia="黑体" w:cs="黑体"/>
          <w:spacing w:val="-29"/>
          <w:position w:val="1"/>
          <w:sz w:val="32"/>
          <w:szCs w:val="32"/>
        </w:rPr>
        <w:t>附</w:t>
      </w:r>
      <w:r>
        <w:rPr>
          <w:rFonts w:ascii="黑体" w:hAnsi="黑体" w:eastAsia="黑体" w:cs="黑体"/>
          <w:spacing w:val="-26"/>
          <w:position w:val="1"/>
          <w:sz w:val="32"/>
          <w:szCs w:val="32"/>
        </w:rPr>
        <w:t>件</w:t>
      </w:r>
      <w:r>
        <w:rPr>
          <w:rFonts w:ascii="Times New Roman" w:hAnsi="Times New Roman" w:eastAsia="Times New Roman" w:cs="Times New Roman"/>
          <w:spacing w:val="-26"/>
          <w:position w:val="1"/>
          <w:sz w:val="32"/>
          <w:szCs w:val="32"/>
        </w:rPr>
        <w:t>4</w:t>
      </w:r>
    </w:p>
    <w:p>
      <w:pPr>
        <w:spacing w:before="305" w:line="207" w:lineRule="auto"/>
        <w:ind w:left="271"/>
        <w:rPr>
          <w:rFonts w:ascii="微软雅黑" w:hAnsi="微软雅黑" w:eastAsia="微软雅黑" w:cs="微软雅黑"/>
          <w:sz w:val="44"/>
          <w:szCs w:val="44"/>
        </w:rPr>
      </w:pPr>
      <w:r>
        <w:rPr>
          <w:rFonts w:ascii="微软雅黑" w:hAnsi="微软雅黑" w:eastAsia="微软雅黑" w:cs="微软雅黑"/>
          <w:spacing w:val="-37"/>
          <w:sz w:val="44"/>
          <w:szCs w:val="44"/>
        </w:rPr>
        <w:t>2</w:t>
      </w:r>
      <w:r>
        <w:rPr>
          <w:rFonts w:ascii="微软雅黑" w:hAnsi="微软雅黑" w:eastAsia="微软雅黑" w:cs="微软雅黑"/>
          <w:spacing w:val="-25"/>
          <w:sz w:val="44"/>
          <w:szCs w:val="44"/>
        </w:rPr>
        <w:t>02</w:t>
      </w:r>
      <w:r>
        <w:rPr>
          <w:rFonts w:hint="eastAsia" w:ascii="微软雅黑" w:hAnsi="微软雅黑" w:eastAsia="微软雅黑" w:cs="微软雅黑"/>
          <w:spacing w:val="-25"/>
          <w:sz w:val="44"/>
          <w:szCs w:val="44"/>
          <w:lang w:val="en-US" w:eastAsia="zh-CN"/>
        </w:rPr>
        <w:t>3</w:t>
      </w:r>
      <w:r>
        <w:rPr>
          <w:rFonts w:ascii="微软雅黑" w:hAnsi="微软雅黑" w:eastAsia="微软雅黑" w:cs="微软雅黑"/>
          <w:spacing w:val="-25"/>
          <w:sz w:val="44"/>
          <w:szCs w:val="44"/>
        </w:rPr>
        <w:t>年度项目支出绩效自评表(业务工作经费)</w:t>
      </w:r>
    </w:p>
    <w:tbl>
      <w:tblPr>
        <w:tblStyle w:val="11"/>
        <w:tblW w:w="9774" w:type="dxa"/>
        <w:jc w:val="center"/>
        <w:tblInd w:w="0" w:type="dxa"/>
        <w:tblLayout w:type="fixed"/>
        <w:tblCellMar>
          <w:top w:w="0" w:type="dxa"/>
          <w:left w:w="108" w:type="dxa"/>
          <w:bottom w:w="0" w:type="dxa"/>
          <w:right w:w="108" w:type="dxa"/>
        </w:tblCellMar>
      </w:tblPr>
      <w:tblGrid>
        <w:gridCol w:w="1027"/>
        <w:gridCol w:w="1035"/>
        <w:gridCol w:w="923"/>
        <w:gridCol w:w="255"/>
        <w:gridCol w:w="1224"/>
        <w:gridCol w:w="591"/>
        <w:gridCol w:w="990"/>
        <w:gridCol w:w="687"/>
        <w:gridCol w:w="483"/>
        <w:gridCol w:w="345"/>
        <w:gridCol w:w="390"/>
        <w:gridCol w:w="483"/>
        <w:gridCol w:w="237"/>
        <w:gridCol w:w="1104"/>
      </w:tblGrid>
      <w:tr>
        <w:tblPrEx>
          <w:tblLayout w:type="fixed"/>
          <w:tblCellMar>
            <w:top w:w="0" w:type="dxa"/>
            <w:left w:w="108" w:type="dxa"/>
            <w:bottom w:w="0" w:type="dxa"/>
            <w:right w:w="108" w:type="dxa"/>
          </w:tblCellMar>
        </w:tblPrEx>
        <w:trPr>
          <w:jc w:val="center"/>
        </w:trPr>
        <w:tc>
          <w:tcPr>
            <w:tcW w:w="1027"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项目支</w:t>
            </w:r>
          </w:p>
          <w:p>
            <w:pPr>
              <w:spacing w:line="2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出名称</w:t>
            </w:r>
          </w:p>
        </w:tc>
        <w:tc>
          <w:tcPr>
            <w:tcW w:w="8747" w:type="dxa"/>
            <w:gridSpan w:val="13"/>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eastAsia="zh-CN"/>
              </w:rPr>
              <w:t>业务工作经费</w:t>
            </w:r>
            <w:r>
              <w:rPr>
                <w:rFonts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jc w:val="center"/>
        </w:trPr>
        <w:tc>
          <w:tcPr>
            <w:tcW w:w="1027" w:type="dxa"/>
            <w:tcBorders>
              <w:top w:val="nil"/>
              <w:left w:val="single" w:color="auto" w:sz="4" w:space="0"/>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主管部门</w:t>
            </w:r>
          </w:p>
        </w:tc>
        <w:tc>
          <w:tcPr>
            <w:tcW w:w="5018" w:type="dxa"/>
            <w:gridSpan w:val="6"/>
            <w:tcBorders>
              <w:top w:val="single" w:color="auto" w:sz="4" w:space="0"/>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lang w:eastAsia="zh-CN"/>
              </w:rPr>
              <w:t>湖南省市场监督管理局</w:t>
            </w:r>
          </w:p>
        </w:tc>
        <w:tc>
          <w:tcPr>
            <w:tcW w:w="687" w:type="dxa"/>
            <w:tcBorders>
              <w:top w:val="single" w:color="auto" w:sz="4" w:space="0"/>
              <w:left w:val="nil"/>
              <w:bottom w:val="single" w:color="auto" w:sz="4" w:space="0"/>
              <w:right w:val="single" w:color="000000"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实施单位</w:t>
            </w:r>
          </w:p>
        </w:tc>
        <w:tc>
          <w:tcPr>
            <w:tcW w:w="3042" w:type="dxa"/>
            <w:gridSpan w:val="6"/>
            <w:tcBorders>
              <w:top w:val="single" w:color="auto" w:sz="4" w:space="0"/>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lang w:eastAsia="zh-CN"/>
              </w:rPr>
              <w:t>湖南省网络商品交易监测中心</w:t>
            </w:r>
          </w:p>
        </w:tc>
      </w:tr>
      <w:tr>
        <w:tblPrEx>
          <w:tblLayout w:type="fixed"/>
          <w:tblCellMar>
            <w:top w:w="0" w:type="dxa"/>
            <w:left w:w="108" w:type="dxa"/>
            <w:bottom w:w="0" w:type="dxa"/>
            <w:right w:w="108" w:type="dxa"/>
          </w:tblCellMar>
        </w:tblPrEx>
        <w:trPr>
          <w:jc w:val="center"/>
        </w:trPr>
        <w:tc>
          <w:tcPr>
            <w:tcW w:w="1027" w:type="dxa"/>
            <w:vMerge w:val="restart"/>
            <w:tcBorders>
              <w:top w:val="nil"/>
              <w:left w:val="single" w:color="auto" w:sz="4" w:space="0"/>
              <w:bottom w:val="single" w:color="000000" w:sz="4" w:space="0"/>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项目资金</w:t>
            </w:r>
            <w:r>
              <w:rPr>
                <w:rFonts w:ascii="Times New Roman" w:hAnsi="Times New Roman" w:eastAsia="仿宋_GB2312" w:cs="Times New Roman"/>
                <w:sz w:val="20"/>
                <w:szCs w:val="20"/>
              </w:rPr>
              <w:br w:type="textWrapping"/>
            </w:r>
            <w:r>
              <w:rPr>
                <w:rFonts w:ascii="Times New Roman" w:hAnsi="Times New Roman" w:eastAsia="仿宋_GB2312" w:cs="Times New Roman"/>
                <w:sz w:val="20"/>
                <w:szCs w:val="20"/>
              </w:rPr>
              <w:t>（万元）</w:t>
            </w:r>
          </w:p>
        </w:tc>
        <w:tc>
          <w:tcPr>
            <w:tcW w:w="2213" w:type="dxa"/>
            <w:gridSpan w:val="3"/>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122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年初</w:t>
            </w:r>
          </w:p>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预算数</w:t>
            </w:r>
          </w:p>
        </w:tc>
        <w:tc>
          <w:tcPr>
            <w:tcW w:w="1581" w:type="dxa"/>
            <w:gridSpan w:val="2"/>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全年</w:t>
            </w:r>
          </w:p>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预算数</w:t>
            </w:r>
          </w:p>
        </w:tc>
        <w:tc>
          <w:tcPr>
            <w:tcW w:w="687"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全年</w:t>
            </w:r>
          </w:p>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执行数</w:t>
            </w:r>
          </w:p>
        </w:tc>
        <w:tc>
          <w:tcPr>
            <w:tcW w:w="828" w:type="dxa"/>
            <w:gridSpan w:val="2"/>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分值</w:t>
            </w:r>
          </w:p>
        </w:tc>
        <w:tc>
          <w:tcPr>
            <w:tcW w:w="873" w:type="dxa"/>
            <w:gridSpan w:val="2"/>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执行率</w:t>
            </w:r>
          </w:p>
        </w:tc>
        <w:tc>
          <w:tcPr>
            <w:tcW w:w="1341" w:type="dxa"/>
            <w:gridSpan w:val="2"/>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eastAsia="zh-CN"/>
              </w:rPr>
              <w:t>自评</w:t>
            </w:r>
            <w:r>
              <w:rPr>
                <w:rFonts w:ascii="Times New Roman" w:hAnsi="Times New Roman" w:eastAsia="仿宋_GB2312" w:cs="Times New Roman"/>
                <w:sz w:val="20"/>
                <w:szCs w:val="20"/>
              </w:rPr>
              <w:t>得分</w:t>
            </w:r>
          </w:p>
        </w:tc>
      </w:tr>
      <w:tr>
        <w:tblPrEx>
          <w:tblLayout w:type="fixed"/>
          <w:tblCellMar>
            <w:top w:w="0" w:type="dxa"/>
            <w:left w:w="108" w:type="dxa"/>
            <w:bottom w:w="0" w:type="dxa"/>
            <w:right w:w="108" w:type="dxa"/>
          </w:tblCellMar>
        </w:tblPrEx>
        <w:trPr>
          <w:trHeight w:val="274" w:hRule="atLeast"/>
          <w:jc w:val="center"/>
        </w:trPr>
        <w:tc>
          <w:tcPr>
            <w:tcW w:w="1027" w:type="dxa"/>
            <w:vMerge w:val="continue"/>
            <w:tcBorders>
              <w:top w:val="nil"/>
              <w:left w:val="single" w:color="auto" w:sz="4" w:space="0"/>
              <w:bottom w:val="single" w:color="000000" w:sz="4" w:space="0"/>
              <w:right w:val="single" w:color="auto" w:sz="4" w:space="0"/>
            </w:tcBorders>
            <w:vAlign w:val="center"/>
          </w:tcPr>
          <w:p>
            <w:pPr>
              <w:rPr>
                <w:rFonts w:ascii="Times New Roman" w:hAnsi="Times New Roman" w:eastAsia="仿宋_GB2312" w:cs="Times New Roman"/>
                <w:sz w:val="20"/>
                <w:szCs w:val="20"/>
              </w:rPr>
            </w:pPr>
          </w:p>
        </w:tc>
        <w:tc>
          <w:tcPr>
            <w:tcW w:w="2213" w:type="dxa"/>
            <w:gridSpan w:val="3"/>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年度资金总额　</w:t>
            </w:r>
          </w:p>
        </w:tc>
        <w:tc>
          <w:tcPr>
            <w:tcW w:w="122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69.20</w:t>
            </w:r>
          </w:p>
        </w:tc>
        <w:tc>
          <w:tcPr>
            <w:tcW w:w="1581" w:type="dxa"/>
            <w:gridSpan w:val="2"/>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69.20</w:t>
            </w:r>
          </w:p>
        </w:tc>
        <w:tc>
          <w:tcPr>
            <w:tcW w:w="687"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48.25</w:t>
            </w:r>
          </w:p>
        </w:tc>
        <w:tc>
          <w:tcPr>
            <w:tcW w:w="828" w:type="dxa"/>
            <w:gridSpan w:val="2"/>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10</w:t>
            </w:r>
          </w:p>
        </w:tc>
        <w:tc>
          <w:tcPr>
            <w:tcW w:w="873" w:type="dxa"/>
            <w:gridSpan w:val="2"/>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69.73%</w:t>
            </w:r>
          </w:p>
        </w:tc>
        <w:tc>
          <w:tcPr>
            <w:tcW w:w="1341" w:type="dxa"/>
            <w:gridSpan w:val="2"/>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7</w:t>
            </w:r>
          </w:p>
        </w:tc>
      </w:tr>
      <w:tr>
        <w:tblPrEx>
          <w:tblLayout w:type="fixed"/>
          <w:tblCellMar>
            <w:top w:w="0" w:type="dxa"/>
            <w:left w:w="108" w:type="dxa"/>
            <w:bottom w:w="0" w:type="dxa"/>
            <w:right w:w="108" w:type="dxa"/>
          </w:tblCellMar>
        </w:tblPrEx>
        <w:trPr>
          <w:jc w:val="center"/>
        </w:trPr>
        <w:tc>
          <w:tcPr>
            <w:tcW w:w="1027" w:type="dxa"/>
            <w:vMerge w:val="continue"/>
            <w:tcBorders>
              <w:top w:val="nil"/>
              <w:left w:val="single" w:color="auto" w:sz="4" w:space="0"/>
              <w:bottom w:val="single" w:color="000000" w:sz="4" w:space="0"/>
              <w:right w:val="single" w:color="auto" w:sz="4" w:space="0"/>
            </w:tcBorders>
            <w:vAlign w:val="center"/>
          </w:tcPr>
          <w:p>
            <w:pPr>
              <w:rPr>
                <w:rFonts w:ascii="Times New Roman" w:hAnsi="Times New Roman" w:eastAsia="仿宋_GB2312" w:cs="Times New Roman"/>
                <w:sz w:val="20"/>
                <w:szCs w:val="20"/>
              </w:rPr>
            </w:pPr>
          </w:p>
        </w:tc>
        <w:tc>
          <w:tcPr>
            <w:tcW w:w="2213" w:type="dxa"/>
            <w:gridSpan w:val="3"/>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其中：当年财政拨款　</w:t>
            </w:r>
          </w:p>
        </w:tc>
        <w:tc>
          <w:tcPr>
            <w:tcW w:w="122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69.20</w:t>
            </w:r>
          </w:p>
        </w:tc>
        <w:tc>
          <w:tcPr>
            <w:tcW w:w="1581" w:type="dxa"/>
            <w:gridSpan w:val="2"/>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69.20</w:t>
            </w:r>
          </w:p>
        </w:tc>
        <w:tc>
          <w:tcPr>
            <w:tcW w:w="687"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48.25</w:t>
            </w:r>
          </w:p>
        </w:tc>
        <w:tc>
          <w:tcPr>
            <w:tcW w:w="828" w:type="dxa"/>
            <w:gridSpan w:val="2"/>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10</w:t>
            </w:r>
          </w:p>
        </w:tc>
        <w:tc>
          <w:tcPr>
            <w:tcW w:w="873" w:type="dxa"/>
            <w:gridSpan w:val="2"/>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69.73%</w:t>
            </w:r>
          </w:p>
        </w:tc>
        <w:tc>
          <w:tcPr>
            <w:tcW w:w="1341" w:type="dxa"/>
            <w:gridSpan w:val="2"/>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7</w:t>
            </w:r>
          </w:p>
        </w:tc>
      </w:tr>
      <w:tr>
        <w:tblPrEx>
          <w:tblLayout w:type="fixed"/>
          <w:tblCellMar>
            <w:top w:w="0" w:type="dxa"/>
            <w:left w:w="108" w:type="dxa"/>
            <w:bottom w:w="0" w:type="dxa"/>
            <w:right w:w="108" w:type="dxa"/>
          </w:tblCellMar>
        </w:tblPrEx>
        <w:trPr>
          <w:jc w:val="center"/>
        </w:trPr>
        <w:tc>
          <w:tcPr>
            <w:tcW w:w="1027" w:type="dxa"/>
            <w:vMerge w:val="continue"/>
            <w:tcBorders>
              <w:top w:val="nil"/>
              <w:left w:val="single" w:color="auto" w:sz="4" w:space="0"/>
              <w:bottom w:val="single" w:color="000000" w:sz="4" w:space="0"/>
              <w:right w:val="single" w:color="auto" w:sz="4" w:space="0"/>
            </w:tcBorders>
            <w:vAlign w:val="center"/>
          </w:tcPr>
          <w:p>
            <w:pPr>
              <w:rPr>
                <w:rFonts w:ascii="Times New Roman" w:hAnsi="Times New Roman" w:eastAsia="仿宋_GB2312" w:cs="Times New Roman"/>
                <w:sz w:val="20"/>
                <w:szCs w:val="20"/>
              </w:rPr>
            </w:pPr>
          </w:p>
        </w:tc>
        <w:tc>
          <w:tcPr>
            <w:tcW w:w="2213" w:type="dxa"/>
            <w:gridSpan w:val="3"/>
            <w:tcBorders>
              <w:top w:val="nil"/>
              <w:left w:val="nil"/>
              <w:bottom w:val="single" w:color="auto" w:sz="4" w:space="0"/>
              <w:right w:val="single" w:color="auto" w:sz="4" w:space="0"/>
            </w:tcBorders>
            <w:vAlign w:val="center"/>
          </w:tcPr>
          <w:p>
            <w:pPr>
              <w:ind w:firstLine="600" w:firstLineChars="300"/>
              <w:rPr>
                <w:rFonts w:ascii="Times New Roman" w:hAnsi="Times New Roman" w:eastAsia="仿宋_GB2312" w:cs="Times New Roman"/>
                <w:sz w:val="20"/>
                <w:szCs w:val="20"/>
              </w:rPr>
            </w:pPr>
            <w:r>
              <w:rPr>
                <w:rFonts w:ascii="Times New Roman" w:hAnsi="Times New Roman" w:eastAsia="仿宋_GB2312" w:cs="Times New Roman"/>
                <w:sz w:val="20"/>
                <w:szCs w:val="20"/>
              </w:rPr>
              <w:t>上年结转资金　</w:t>
            </w:r>
          </w:p>
        </w:tc>
        <w:tc>
          <w:tcPr>
            <w:tcW w:w="122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p>
        </w:tc>
        <w:tc>
          <w:tcPr>
            <w:tcW w:w="1581" w:type="dxa"/>
            <w:gridSpan w:val="2"/>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p>
        </w:tc>
        <w:tc>
          <w:tcPr>
            <w:tcW w:w="687"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p>
        </w:tc>
        <w:tc>
          <w:tcPr>
            <w:tcW w:w="828" w:type="dxa"/>
            <w:gridSpan w:val="2"/>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p>
        </w:tc>
        <w:tc>
          <w:tcPr>
            <w:tcW w:w="873" w:type="dxa"/>
            <w:gridSpan w:val="2"/>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c>
          <w:tcPr>
            <w:tcW w:w="1341" w:type="dxa"/>
            <w:gridSpan w:val="2"/>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r>
      <w:tr>
        <w:tblPrEx>
          <w:tblLayout w:type="fixed"/>
          <w:tblCellMar>
            <w:top w:w="0" w:type="dxa"/>
            <w:left w:w="108" w:type="dxa"/>
            <w:bottom w:w="0" w:type="dxa"/>
            <w:right w:w="108" w:type="dxa"/>
          </w:tblCellMar>
        </w:tblPrEx>
        <w:trPr>
          <w:jc w:val="center"/>
        </w:trPr>
        <w:tc>
          <w:tcPr>
            <w:tcW w:w="1027" w:type="dxa"/>
            <w:vMerge w:val="continue"/>
            <w:tcBorders>
              <w:top w:val="nil"/>
              <w:left w:val="single" w:color="auto" w:sz="4" w:space="0"/>
              <w:bottom w:val="single" w:color="000000" w:sz="4" w:space="0"/>
              <w:right w:val="single" w:color="auto" w:sz="4" w:space="0"/>
            </w:tcBorders>
            <w:vAlign w:val="center"/>
          </w:tcPr>
          <w:p>
            <w:pPr>
              <w:rPr>
                <w:rFonts w:ascii="Times New Roman" w:hAnsi="Times New Roman" w:eastAsia="仿宋_GB2312" w:cs="Times New Roman"/>
                <w:sz w:val="20"/>
                <w:szCs w:val="20"/>
              </w:rPr>
            </w:pPr>
          </w:p>
        </w:tc>
        <w:tc>
          <w:tcPr>
            <w:tcW w:w="2213" w:type="dxa"/>
            <w:gridSpan w:val="3"/>
            <w:tcBorders>
              <w:top w:val="nil"/>
              <w:left w:val="nil"/>
              <w:bottom w:val="single" w:color="auto" w:sz="4" w:space="0"/>
              <w:right w:val="single" w:color="auto" w:sz="4" w:space="0"/>
            </w:tcBorders>
            <w:vAlign w:val="center"/>
          </w:tcPr>
          <w:p>
            <w:pPr>
              <w:ind w:firstLine="600" w:firstLineChars="300"/>
              <w:rPr>
                <w:rFonts w:ascii="Times New Roman" w:hAnsi="Times New Roman" w:eastAsia="仿宋_GB2312" w:cs="Times New Roman"/>
                <w:sz w:val="20"/>
                <w:szCs w:val="20"/>
              </w:rPr>
            </w:pPr>
            <w:r>
              <w:rPr>
                <w:rFonts w:ascii="Times New Roman" w:hAnsi="Times New Roman" w:eastAsia="仿宋_GB2312" w:cs="Times New Roman"/>
                <w:sz w:val="20"/>
                <w:szCs w:val="20"/>
              </w:rPr>
              <w:t>其他资金</w:t>
            </w:r>
          </w:p>
        </w:tc>
        <w:tc>
          <w:tcPr>
            <w:tcW w:w="122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p>
        </w:tc>
        <w:tc>
          <w:tcPr>
            <w:tcW w:w="1581" w:type="dxa"/>
            <w:gridSpan w:val="2"/>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p>
        </w:tc>
        <w:tc>
          <w:tcPr>
            <w:tcW w:w="687"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p>
        </w:tc>
        <w:tc>
          <w:tcPr>
            <w:tcW w:w="828" w:type="dxa"/>
            <w:gridSpan w:val="2"/>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p>
        </w:tc>
        <w:tc>
          <w:tcPr>
            <w:tcW w:w="873" w:type="dxa"/>
            <w:gridSpan w:val="2"/>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c>
          <w:tcPr>
            <w:tcW w:w="1341" w:type="dxa"/>
            <w:gridSpan w:val="2"/>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r>
      <w:tr>
        <w:tblPrEx>
          <w:tblLayout w:type="fixed"/>
          <w:tblCellMar>
            <w:top w:w="0" w:type="dxa"/>
            <w:left w:w="108" w:type="dxa"/>
            <w:bottom w:w="0" w:type="dxa"/>
            <w:right w:w="108" w:type="dxa"/>
          </w:tblCellMar>
        </w:tblPrEx>
        <w:trPr>
          <w:jc w:val="center"/>
        </w:trPr>
        <w:tc>
          <w:tcPr>
            <w:tcW w:w="1027" w:type="dxa"/>
            <w:vMerge w:val="restart"/>
            <w:tcBorders>
              <w:top w:val="nil"/>
              <w:left w:val="single" w:color="auto" w:sz="4" w:space="0"/>
              <w:bottom w:val="single" w:color="000000" w:sz="4" w:space="0"/>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年度总体目标</w:t>
            </w:r>
          </w:p>
        </w:tc>
        <w:tc>
          <w:tcPr>
            <w:tcW w:w="5018" w:type="dxa"/>
            <w:gridSpan w:val="6"/>
            <w:tcBorders>
              <w:top w:val="single" w:color="auto" w:sz="4" w:space="0"/>
              <w:left w:val="nil"/>
              <w:bottom w:val="single" w:color="auto" w:sz="4" w:space="0"/>
              <w:right w:val="single" w:color="000000"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预期目标</w:t>
            </w:r>
          </w:p>
        </w:tc>
        <w:tc>
          <w:tcPr>
            <w:tcW w:w="3729" w:type="dxa"/>
            <w:gridSpan w:val="7"/>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实际完成情况　</w:t>
            </w:r>
          </w:p>
        </w:tc>
      </w:tr>
      <w:tr>
        <w:tblPrEx>
          <w:tblLayout w:type="fixed"/>
          <w:tblCellMar>
            <w:top w:w="0" w:type="dxa"/>
            <w:left w:w="108" w:type="dxa"/>
            <w:bottom w:w="0" w:type="dxa"/>
            <w:right w:w="108" w:type="dxa"/>
          </w:tblCellMar>
        </w:tblPrEx>
        <w:trPr>
          <w:jc w:val="center"/>
        </w:trPr>
        <w:tc>
          <w:tcPr>
            <w:tcW w:w="1027" w:type="dxa"/>
            <w:vMerge w:val="continue"/>
            <w:tcBorders>
              <w:top w:val="nil"/>
              <w:left w:val="single" w:color="auto" w:sz="4" w:space="0"/>
              <w:bottom w:val="single" w:color="000000" w:sz="4" w:space="0"/>
              <w:right w:val="single" w:color="auto" w:sz="4" w:space="0"/>
            </w:tcBorders>
            <w:vAlign w:val="center"/>
          </w:tcPr>
          <w:p>
            <w:pPr>
              <w:rPr>
                <w:rFonts w:ascii="Times New Roman" w:hAnsi="Times New Roman" w:eastAsia="仿宋_GB2312" w:cs="Times New Roman"/>
                <w:sz w:val="20"/>
                <w:szCs w:val="20"/>
              </w:rPr>
            </w:pPr>
          </w:p>
        </w:tc>
        <w:tc>
          <w:tcPr>
            <w:tcW w:w="5018" w:type="dxa"/>
            <w:gridSpan w:val="6"/>
            <w:tcBorders>
              <w:top w:val="single" w:color="auto" w:sz="4" w:space="0"/>
              <w:left w:val="nil"/>
              <w:bottom w:val="single" w:color="auto" w:sz="4" w:space="0"/>
              <w:right w:val="single" w:color="000000" w:sz="4" w:space="0"/>
            </w:tcBorders>
            <w:vAlign w:val="center"/>
          </w:tcPr>
          <w:p>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69.2</w:t>
            </w:r>
            <w:r>
              <w:rPr>
                <w:rFonts w:ascii="Times New Roman" w:hAnsi="Times New Roman" w:eastAsia="仿宋_GB2312" w:cs="Times New Roman"/>
                <w:sz w:val="20"/>
                <w:szCs w:val="20"/>
              </w:rPr>
              <w:t>　</w:t>
            </w:r>
          </w:p>
        </w:tc>
        <w:tc>
          <w:tcPr>
            <w:tcW w:w="3729" w:type="dxa"/>
            <w:gridSpan w:val="7"/>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48.24</w:t>
            </w:r>
          </w:p>
        </w:tc>
      </w:tr>
      <w:tr>
        <w:tblPrEx>
          <w:tblLayout w:type="fixed"/>
          <w:tblCellMar>
            <w:top w:w="0" w:type="dxa"/>
            <w:left w:w="108" w:type="dxa"/>
            <w:bottom w:w="0" w:type="dxa"/>
            <w:right w:w="108" w:type="dxa"/>
          </w:tblCellMar>
        </w:tblPrEx>
        <w:trPr>
          <w:trHeight w:val="565" w:hRule="atLeast"/>
          <w:jc w:val="center"/>
        </w:trPr>
        <w:tc>
          <w:tcPr>
            <w:tcW w:w="1027" w:type="dxa"/>
            <w:vMerge w:val="restart"/>
            <w:tcBorders>
              <w:top w:val="nil"/>
              <w:left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绩</w:t>
            </w:r>
          </w:p>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效</w:t>
            </w:r>
          </w:p>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指</w:t>
            </w:r>
          </w:p>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标</w:t>
            </w:r>
          </w:p>
        </w:tc>
        <w:tc>
          <w:tcPr>
            <w:tcW w:w="1035"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一级指标</w:t>
            </w:r>
          </w:p>
        </w:tc>
        <w:tc>
          <w:tcPr>
            <w:tcW w:w="923"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二级指标</w:t>
            </w:r>
          </w:p>
        </w:tc>
        <w:tc>
          <w:tcPr>
            <w:tcW w:w="2070" w:type="dxa"/>
            <w:gridSpan w:val="3"/>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三级指标</w:t>
            </w:r>
          </w:p>
        </w:tc>
        <w:tc>
          <w:tcPr>
            <w:tcW w:w="99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年度</w:t>
            </w:r>
          </w:p>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指标值</w:t>
            </w:r>
          </w:p>
        </w:tc>
        <w:tc>
          <w:tcPr>
            <w:tcW w:w="1170"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实际</w:t>
            </w:r>
          </w:p>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完成值</w:t>
            </w:r>
          </w:p>
        </w:tc>
        <w:tc>
          <w:tcPr>
            <w:tcW w:w="735"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分值</w:t>
            </w:r>
          </w:p>
        </w:tc>
        <w:tc>
          <w:tcPr>
            <w:tcW w:w="720"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得分</w:t>
            </w:r>
          </w:p>
        </w:tc>
        <w:tc>
          <w:tcPr>
            <w:tcW w:w="1104" w:type="dxa"/>
            <w:tcBorders>
              <w:top w:val="nil"/>
              <w:left w:val="nil"/>
              <w:bottom w:val="single" w:color="auto" w:sz="4" w:space="0"/>
              <w:right w:val="single" w:color="auto" w:sz="4" w:space="0"/>
            </w:tcBorders>
            <w:vAlign w:val="center"/>
          </w:tcPr>
          <w:p>
            <w:pPr>
              <w:spacing w:line="240" w:lineRule="exact"/>
              <w:jc w:val="both"/>
              <w:rPr>
                <w:rFonts w:ascii="Times New Roman" w:hAnsi="Times New Roman" w:eastAsia="仿宋_GB2312" w:cs="Times New Roman"/>
                <w:sz w:val="20"/>
                <w:szCs w:val="20"/>
              </w:rPr>
            </w:pPr>
            <w:r>
              <w:rPr>
                <w:rFonts w:ascii="Times New Roman" w:hAnsi="Times New Roman" w:eastAsia="仿宋_GB2312" w:cs="Times New Roman"/>
                <w:sz w:val="20"/>
                <w:szCs w:val="20"/>
              </w:rPr>
              <w:t>偏差原因分析及改进措施</w:t>
            </w:r>
          </w:p>
        </w:tc>
      </w:tr>
      <w:tr>
        <w:tblPrEx>
          <w:tblLayout w:type="fixed"/>
          <w:tblCellMar>
            <w:top w:w="0" w:type="dxa"/>
            <w:left w:w="108" w:type="dxa"/>
            <w:bottom w:w="0" w:type="dxa"/>
            <w:right w:w="108" w:type="dxa"/>
          </w:tblCellMar>
        </w:tblPrEx>
        <w:trPr>
          <w:jc w:val="center"/>
        </w:trPr>
        <w:tc>
          <w:tcPr>
            <w:tcW w:w="1027" w:type="dxa"/>
            <w:vMerge w:val="continue"/>
            <w:tcBorders>
              <w:left w:val="single" w:color="auto" w:sz="4" w:space="0"/>
              <w:right w:val="single" w:color="auto" w:sz="4" w:space="0"/>
            </w:tcBorders>
            <w:vAlign w:val="center"/>
          </w:tcPr>
          <w:p>
            <w:pPr>
              <w:rPr>
                <w:rFonts w:ascii="Times New Roman" w:hAnsi="Times New Roman" w:eastAsia="仿宋_GB2312" w:cs="Times New Roman"/>
                <w:sz w:val="20"/>
                <w:szCs w:val="20"/>
              </w:rPr>
            </w:pPr>
          </w:p>
        </w:tc>
        <w:tc>
          <w:tcPr>
            <w:tcW w:w="1035" w:type="dxa"/>
            <w:vMerge w:val="restart"/>
            <w:tcBorders>
              <w:top w:val="nil"/>
              <w:left w:val="nil"/>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产出指标</w:t>
            </w:r>
          </w:p>
          <w:p>
            <w:pPr>
              <w:jc w:val="center"/>
              <w:rPr>
                <w:rFonts w:ascii="Times New Roman" w:hAnsi="Times New Roman" w:eastAsia="仿宋_GB2312" w:cs="Times New Roman"/>
                <w:sz w:val="20"/>
                <w:szCs w:val="20"/>
              </w:rPr>
            </w:pPr>
          </w:p>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(50分)</w:t>
            </w:r>
          </w:p>
        </w:tc>
        <w:tc>
          <w:tcPr>
            <w:tcW w:w="923" w:type="dxa"/>
            <w:vMerge w:val="restart"/>
            <w:tcBorders>
              <w:top w:val="nil"/>
              <w:left w:val="nil"/>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数量指标</w:t>
            </w:r>
          </w:p>
        </w:tc>
        <w:tc>
          <w:tcPr>
            <w:tcW w:w="2070" w:type="dxa"/>
            <w:gridSpan w:val="3"/>
            <w:tcBorders>
              <w:top w:val="nil"/>
              <w:left w:val="nil"/>
              <w:bottom w:val="single" w:color="auto" w:sz="4" w:space="0"/>
              <w:right w:val="single" w:color="auto" w:sz="4" w:space="0"/>
            </w:tcBorders>
            <w:vAlign w:val="center"/>
          </w:tcPr>
          <w:p>
            <w:pPr>
              <w:rPr>
                <w:rFonts w:hint="eastAsia" w:ascii="Times New Roman" w:hAnsi="Times New Roman" w:eastAsia="仿宋_GB2312" w:cs="Times New Roman"/>
                <w:color w:val="auto"/>
                <w:sz w:val="20"/>
                <w:szCs w:val="20"/>
                <w:lang w:eastAsia="zh-CN"/>
              </w:rPr>
            </w:pPr>
            <w:r>
              <w:rPr>
                <w:rFonts w:hint="eastAsia" w:ascii="Times New Roman" w:hAnsi="Times New Roman" w:eastAsia="仿宋_GB2312" w:cs="Times New Roman"/>
                <w:color w:val="auto"/>
                <w:sz w:val="20"/>
                <w:szCs w:val="20"/>
                <w:lang w:eastAsia="zh-CN"/>
              </w:rPr>
              <w:t>网络监管系统数据服务工作项目</w:t>
            </w:r>
          </w:p>
        </w:tc>
        <w:tc>
          <w:tcPr>
            <w:tcW w:w="990"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仿宋" w:hAnsi="仿宋" w:eastAsia="仿宋" w:cs="仿宋"/>
                <w:color w:val="auto"/>
                <w:kern w:val="0"/>
                <w:sz w:val="18"/>
                <w:szCs w:val="18"/>
              </w:rPr>
              <w:t>≥</w:t>
            </w:r>
            <w:r>
              <w:rPr>
                <w:rFonts w:hint="eastAsia" w:ascii="仿宋" w:hAnsi="仿宋" w:eastAsia="仿宋" w:cs="仿宋"/>
                <w:color w:val="auto"/>
                <w:kern w:val="0"/>
                <w:sz w:val="18"/>
                <w:szCs w:val="18"/>
                <w:lang w:val="en-US" w:eastAsia="zh-CN"/>
              </w:rPr>
              <w:t>12次</w:t>
            </w:r>
          </w:p>
        </w:tc>
        <w:tc>
          <w:tcPr>
            <w:tcW w:w="1170" w:type="dxa"/>
            <w:gridSpan w:val="2"/>
            <w:tcBorders>
              <w:top w:val="nil"/>
              <w:left w:val="nil"/>
              <w:bottom w:val="single" w:color="auto" w:sz="4" w:space="0"/>
              <w:right w:val="single" w:color="auto" w:sz="4" w:space="0"/>
            </w:tcBorders>
            <w:vAlign w:val="center"/>
          </w:tcPr>
          <w:p>
            <w:pPr>
              <w:ind w:firstLine="360" w:firstLineChars="200"/>
              <w:jc w:val="both"/>
              <w:rPr>
                <w:rFonts w:ascii="Times New Roman" w:hAnsi="Times New Roman" w:eastAsia="仿宋_GB2312" w:cs="Times New Roman"/>
                <w:color w:val="auto"/>
                <w:sz w:val="20"/>
                <w:szCs w:val="20"/>
              </w:rPr>
            </w:pPr>
            <w:r>
              <w:rPr>
                <w:rFonts w:hint="eastAsia" w:ascii="仿宋" w:hAnsi="仿宋" w:eastAsia="仿宋" w:cs="仿宋"/>
                <w:color w:val="auto"/>
                <w:kern w:val="0"/>
                <w:sz w:val="18"/>
                <w:szCs w:val="18"/>
                <w:lang w:val="en-US" w:eastAsia="zh-CN"/>
              </w:rPr>
              <w:t>12次</w:t>
            </w:r>
          </w:p>
        </w:tc>
        <w:tc>
          <w:tcPr>
            <w:tcW w:w="735" w:type="dxa"/>
            <w:gridSpan w:val="2"/>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eastAsia="zh-CN"/>
              </w:rPr>
            </w:pPr>
            <w:r>
              <w:rPr>
                <w:rFonts w:hint="eastAsia" w:ascii="Times New Roman" w:hAnsi="Times New Roman" w:eastAsia="仿宋_GB2312" w:cs="Times New Roman"/>
                <w:color w:val="auto"/>
                <w:sz w:val="20"/>
                <w:szCs w:val="20"/>
                <w:lang w:val="en-US" w:eastAsia="zh-CN"/>
              </w:rPr>
              <w:t>10</w:t>
            </w:r>
          </w:p>
        </w:tc>
        <w:tc>
          <w:tcPr>
            <w:tcW w:w="720" w:type="dxa"/>
            <w:gridSpan w:val="2"/>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eastAsia="zh-CN"/>
              </w:rPr>
            </w:pPr>
            <w:r>
              <w:rPr>
                <w:rFonts w:hint="eastAsia" w:ascii="Times New Roman" w:hAnsi="Times New Roman" w:eastAsia="仿宋_GB2312" w:cs="Times New Roman"/>
                <w:color w:val="auto"/>
                <w:sz w:val="20"/>
                <w:szCs w:val="20"/>
                <w:lang w:val="en-US" w:eastAsia="zh-CN"/>
              </w:rPr>
              <w:t>10</w:t>
            </w:r>
          </w:p>
        </w:tc>
        <w:tc>
          <w:tcPr>
            <w:tcW w:w="110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r>
      <w:tr>
        <w:tblPrEx>
          <w:tblLayout w:type="fixed"/>
          <w:tblCellMar>
            <w:top w:w="0" w:type="dxa"/>
            <w:left w:w="108" w:type="dxa"/>
            <w:bottom w:w="0" w:type="dxa"/>
            <w:right w:w="108" w:type="dxa"/>
          </w:tblCellMar>
        </w:tblPrEx>
        <w:trPr>
          <w:jc w:val="center"/>
        </w:trPr>
        <w:tc>
          <w:tcPr>
            <w:tcW w:w="1027" w:type="dxa"/>
            <w:vMerge w:val="continue"/>
            <w:tcBorders>
              <w:left w:val="single" w:color="auto" w:sz="4" w:space="0"/>
              <w:right w:val="single" w:color="auto" w:sz="4" w:space="0"/>
            </w:tcBorders>
            <w:vAlign w:val="center"/>
          </w:tcPr>
          <w:p>
            <w:pPr>
              <w:rPr>
                <w:rFonts w:ascii="Times New Roman" w:hAnsi="Times New Roman" w:eastAsia="仿宋_GB2312" w:cs="Times New Roman"/>
                <w:sz w:val="20"/>
                <w:szCs w:val="20"/>
              </w:rPr>
            </w:pPr>
          </w:p>
        </w:tc>
        <w:tc>
          <w:tcPr>
            <w:tcW w:w="1035" w:type="dxa"/>
            <w:vMerge w:val="continue"/>
            <w:tcBorders>
              <w:left w:val="nil"/>
              <w:right w:val="single" w:color="auto" w:sz="4" w:space="0"/>
            </w:tcBorders>
            <w:vAlign w:val="center"/>
          </w:tcPr>
          <w:p>
            <w:pPr>
              <w:rPr>
                <w:rFonts w:ascii="Times New Roman" w:hAnsi="Times New Roman" w:eastAsia="仿宋_GB2312" w:cs="Times New Roman"/>
                <w:sz w:val="20"/>
                <w:szCs w:val="20"/>
              </w:rPr>
            </w:pPr>
          </w:p>
        </w:tc>
        <w:tc>
          <w:tcPr>
            <w:tcW w:w="923" w:type="dxa"/>
            <w:vMerge w:val="continue"/>
            <w:tcBorders>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p>
        </w:tc>
        <w:tc>
          <w:tcPr>
            <w:tcW w:w="2070" w:type="dxa"/>
            <w:gridSpan w:val="3"/>
            <w:tcBorders>
              <w:top w:val="nil"/>
              <w:left w:val="nil"/>
              <w:bottom w:val="single" w:color="auto" w:sz="4" w:space="0"/>
              <w:right w:val="single" w:color="auto" w:sz="4" w:space="0"/>
            </w:tcBorders>
            <w:vAlign w:val="center"/>
          </w:tcPr>
          <w:p>
            <w:pPr>
              <w:rPr>
                <w:rFonts w:hint="eastAsia" w:ascii="Times New Roman" w:hAnsi="Times New Roman" w:eastAsia="仿宋_GB2312" w:cs="Times New Roman"/>
                <w:color w:val="auto"/>
                <w:sz w:val="20"/>
                <w:szCs w:val="20"/>
                <w:lang w:eastAsia="zh-CN"/>
              </w:rPr>
            </w:pPr>
            <w:r>
              <w:rPr>
                <w:rFonts w:hint="eastAsia" w:ascii="Times New Roman" w:hAnsi="Times New Roman" w:eastAsia="仿宋_GB2312" w:cs="Times New Roman"/>
                <w:color w:val="auto"/>
                <w:sz w:val="20"/>
                <w:szCs w:val="20"/>
                <w:lang w:eastAsia="zh-CN"/>
              </w:rPr>
              <w:t>网监人员业务能力培训及研判会</w:t>
            </w:r>
          </w:p>
        </w:tc>
        <w:tc>
          <w:tcPr>
            <w:tcW w:w="990"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仿宋" w:hAnsi="仿宋" w:eastAsia="仿宋" w:cs="仿宋"/>
                <w:color w:val="auto"/>
                <w:kern w:val="0"/>
                <w:sz w:val="18"/>
                <w:szCs w:val="18"/>
              </w:rPr>
              <w:t>≥</w:t>
            </w:r>
            <w:r>
              <w:rPr>
                <w:rFonts w:hint="eastAsia" w:ascii="仿宋" w:hAnsi="仿宋" w:eastAsia="仿宋" w:cs="仿宋"/>
                <w:color w:val="auto"/>
                <w:kern w:val="0"/>
                <w:sz w:val="18"/>
                <w:szCs w:val="18"/>
                <w:lang w:val="en-US" w:eastAsia="zh-CN"/>
              </w:rPr>
              <w:t>74人</w:t>
            </w:r>
          </w:p>
        </w:tc>
        <w:tc>
          <w:tcPr>
            <w:tcW w:w="1170" w:type="dxa"/>
            <w:gridSpan w:val="2"/>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仿宋" w:hAnsi="仿宋" w:eastAsia="仿宋" w:cs="仿宋"/>
                <w:color w:val="auto"/>
                <w:kern w:val="0"/>
                <w:sz w:val="18"/>
                <w:szCs w:val="18"/>
                <w:lang w:val="en-US" w:eastAsia="zh-CN"/>
              </w:rPr>
              <w:t>92人</w:t>
            </w:r>
          </w:p>
        </w:tc>
        <w:tc>
          <w:tcPr>
            <w:tcW w:w="735" w:type="dxa"/>
            <w:gridSpan w:val="2"/>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10</w:t>
            </w:r>
          </w:p>
        </w:tc>
        <w:tc>
          <w:tcPr>
            <w:tcW w:w="720" w:type="dxa"/>
            <w:gridSpan w:val="2"/>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10</w:t>
            </w:r>
          </w:p>
        </w:tc>
        <w:tc>
          <w:tcPr>
            <w:tcW w:w="110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r>
      <w:tr>
        <w:tblPrEx>
          <w:tblLayout w:type="fixed"/>
          <w:tblCellMar>
            <w:top w:w="0" w:type="dxa"/>
            <w:left w:w="108" w:type="dxa"/>
            <w:bottom w:w="0" w:type="dxa"/>
            <w:right w:w="108" w:type="dxa"/>
          </w:tblCellMar>
        </w:tblPrEx>
        <w:trPr>
          <w:trHeight w:val="648" w:hRule="atLeast"/>
          <w:jc w:val="center"/>
        </w:trPr>
        <w:tc>
          <w:tcPr>
            <w:tcW w:w="1027" w:type="dxa"/>
            <w:vMerge w:val="continue"/>
            <w:tcBorders>
              <w:left w:val="single" w:color="auto" w:sz="4" w:space="0"/>
              <w:right w:val="single" w:color="auto" w:sz="4" w:space="0"/>
            </w:tcBorders>
            <w:vAlign w:val="center"/>
          </w:tcPr>
          <w:p>
            <w:pPr>
              <w:rPr>
                <w:rFonts w:ascii="Times New Roman" w:hAnsi="Times New Roman" w:eastAsia="仿宋_GB2312" w:cs="Times New Roman"/>
                <w:sz w:val="20"/>
                <w:szCs w:val="20"/>
              </w:rPr>
            </w:pPr>
          </w:p>
        </w:tc>
        <w:tc>
          <w:tcPr>
            <w:tcW w:w="1035" w:type="dxa"/>
            <w:vMerge w:val="continue"/>
            <w:tcBorders>
              <w:left w:val="nil"/>
              <w:right w:val="single" w:color="auto" w:sz="4" w:space="0"/>
            </w:tcBorders>
            <w:vAlign w:val="center"/>
          </w:tcPr>
          <w:p>
            <w:pPr>
              <w:rPr>
                <w:rFonts w:ascii="Times New Roman" w:hAnsi="Times New Roman" w:eastAsia="仿宋_GB2312" w:cs="Times New Roman"/>
                <w:sz w:val="20"/>
                <w:szCs w:val="20"/>
              </w:rPr>
            </w:pPr>
          </w:p>
        </w:tc>
        <w:tc>
          <w:tcPr>
            <w:tcW w:w="923" w:type="dxa"/>
            <w:vMerge w:val="restart"/>
            <w:tcBorders>
              <w:top w:val="nil"/>
              <w:left w:val="nil"/>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质量指标</w:t>
            </w:r>
          </w:p>
        </w:tc>
        <w:tc>
          <w:tcPr>
            <w:tcW w:w="2070" w:type="dxa"/>
            <w:gridSpan w:val="3"/>
            <w:tcBorders>
              <w:top w:val="nil"/>
              <w:left w:val="nil"/>
              <w:bottom w:val="single" w:color="auto" w:sz="4" w:space="0"/>
              <w:right w:val="single" w:color="auto" w:sz="4" w:space="0"/>
            </w:tcBorders>
            <w:vAlign w:val="center"/>
          </w:tcPr>
          <w:p>
            <w:pP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eastAsia="zh-CN"/>
              </w:rPr>
              <w:t>网络监管系统数据服务工作项目</w:t>
            </w:r>
          </w:p>
        </w:tc>
        <w:tc>
          <w:tcPr>
            <w:tcW w:w="990"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仿宋" w:hAnsi="仿宋" w:eastAsia="仿宋" w:cs="仿宋"/>
                <w:color w:val="auto"/>
                <w:kern w:val="0"/>
                <w:sz w:val="18"/>
                <w:szCs w:val="18"/>
                <w:lang w:eastAsia="zh-CN"/>
              </w:rPr>
              <w:t>完成率</w:t>
            </w:r>
            <w:r>
              <w:rPr>
                <w:rFonts w:hint="eastAsia" w:ascii="仿宋" w:hAnsi="仿宋" w:eastAsia="仿宋" w:cs="仿宋"/>
                <w:color w:val="auto"/>
                <w:kern w:val="0"/>
                <w:sz w:val="18"/>
                <w:szCs w:val="18"/>
              </w:rPr>
              <w:t>≥</w:t>
            </w:r>
            <w:r>
              <w:rPr>
                <w:rFonts w:hint="eastAsia" w:ascii="仿宋" w:hAnsi="仿宋" w:eastAsia="仿宋" w:cs="仿宋"/>
                <w:color w:val="auto"/>
                <w:kern w:val="0"/>
                <w:sz w:val="18"/>
                <w:szCs w:val="18"/>
                <w:lang w:val="en-US" w:eastAsia="zh-CN"/>
              </w:rPr>
              <w:t>90%</w:t>
            </w:r>
          </w:p>
        </w:tc>
        <w:tc>
          <w:tcPr>
            <w:tcW w:w="1170" w:type="dxa"/>
            <w:gridSpan w:val="2"/>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eastAsia="zh-CN"/>
              </w:rPr>
            </w:pPr>
            <w:r>
              <w:rPr>
                <w:rFonts w:hint="eastAsia" w:ascii="仿宋" w:hAnsi="仿宋" w:eastAsia="仿宋" w:cs="仿宋"/>
                <w:color w:val="auto"/>
                <w:kern w:val="0"/>
                <w:sz w:val="18"/>
                <w:szCs w:val="18"/>
                <w:lang w:val="en-US" w:eastAsia="zh-CN"/>
              </w:rPr>
              <w:t>100%</w:t>
            </w:r>
          </w:p>
        </w:tc>
        <w:tc>
          <w:tcPr>
            <w:tcW w:w="735" w:type="dxa"/>
            <w:gridSpan w:val="2"/>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5</w:t>
            </w:r>
          </w:p>
        </w:tc>
        <w:tc>
          <w:tcPr>
            <w:tcW w:w="720" w:type="dxa"/>
            <w:gridSpan w:val="2"/>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5</w:t>
            </w:r>
          </w:p>
        </w:tc>
        <w:tc>
          <w:tcPr>
            <w:tcW w:w="110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FF0000"/>
                <w:sz w:val="20"/>
                <w:szCs w:val="20"/>
              </w:rPr>
            </w:pPr>
          </w:p>
        </w:tc>
      </w:tr>
      <w:tr>
        <w:tblPrEx>
          <w:tblLayout w:type="fixed"/>
          <w:tblCellMar>
            <w:top w:w="0" w:type="dxa"/>
            <w:left w:w="108" w:type="dxa"/>
            <w:bottom w:w="0" w:type="dxa"/>
            <w:right w:w="108" w:type="dxa"/>
          </w:tblCellMar>
        </w:tblPrEx>
        <w:trPr>
          <w:jc w:val="center"/>
        </w:trPr>
        <w:tc>
          <w:tcPr>
            <w:tcW w:w="1027" w:type="dxa"/>
            <w:vMerge w:val="continue"/>
            <w:tcBorders>
              <w:left w:val="single" w:color="auto" w:sz="4" w:space="0"/>
              <w:right w:val="single" w:color="auto" w:sz="4" w:space="0"/>
            </w:tcBorders>
            <w:vAlign w:val="center"/>
          </w:tcPr>
          <w:p>
            <w:pPr>
              <w:rPr>
                <w:rFonts w:ascii="Times New Roman" w:hAnsi="Times New Roman" w:eastAsia="仿宋_GB2312" w:cs="Times New Roman"/>
                <w:sz w:val="20"/>
                <w:szCs w:val="20"/>
              </w:rPr>
            </w:pPr>
          </w:p>
        </w:tc>
        <w:tc>
          <w:tcPr>
            <w:tcW w:w="1035" w:type="dxa"/>
            <w:vMerge w:val="continue"/>
            <w:tcBorders>
              <w:left w:val="nil"/>
              <w:right w:val="single" w:color="auto" w:sz="4" w:space="0"/>
            </w:tcBorders>
            <w:vAlign w:val="center"/>
          </w:tcPr>
          <w:p>
            <w:pPr>
              <w:rPr>
                <w:rFonts w:ascii="Times New Roman" w:hAnsi="Times New Roman" w:eastAsia="仿宋_GB2312" w:cs="Times New Roman"/>
                <w:sz w:val="20"/>
                <w:szCs w:val="20"/>
              </w:rPr>
            </w:pPr>
          </w:p>
        </w:tc>
        <w:tc>
          <w:tcPr>
            <w:tcW w:w="923" w:type="dxa"/>
            <w:vMerge w:val="continue"/>
            <w:tcBorders>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p>
        </w:tc>
        <w:tc>
          <w:tcPr>
            <w:tcW w:w="2070" w:type="dxa"/>
            <w:gridSpan w:val="3"/>
            <w:tcBorders>
              <w:top w:val="nil"/>
              <w:left w:val="nil"/>
              <w:bottom w:val="single" w:color="auto" w:sz="4" w:space="0"/>
              <w:right w:val="single" w:color="auto" w:sz="4" w:space="0"/>
            </w:tcBorders>
            <w:vAlign w:val="center"/>
          </w:tcPr>
          <w:p>
            <w:pP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eastAsia="zh-CN"/>
              </w:rPr>
              <w:t>网监人员业务能力培训及研判会完成率</w:t>
            </w:r>
          </w:p>
        </w:tc>
        <w:tc>
          <w:tcPr>
            <w:tcW w:w="990"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100%</w:t>
            </w:r>
          </w:p>
        </w:tc>
        <w:tc>
          <w:tcPr>
            <w:tcW w:w="1170" w:type="dxa"/>
            <w:gridSpan w:val="2"/>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100%</w:t>
            </w:r>
          </w:p>
        </w:tc>
        <w:tc>
          <w:tcPr>
            <w:tcW w:w="735" w:type="dxa"/>
            <w:gridSpan w:val="2"/>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5</w:t>
            </w:r>
          </w:p>
        </w:tc>
        <w:tc>
          <w:tcPr>
            <w:tcW w:w="720" w:type="dxa"/>
            <w:gridSpan w:val="2"/>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5</w:t>
            </w:r>
          </w:p>
        </w:tc>
        <w:tc>
          <w:tcPr>
            <w:tcW w:w="110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FF0000"/>
                <w:sz w:val="20"/>
                <w:szCs w:val="20"/>
              </w:rPr>
            </w:pPr>
          </w:p>
        </w:tc>
      </w:tr>
      <w:tr>
        <w:tblPrEx>
          <w:tblLayout w:type="fixed"/>
          <w:tblCellMar>
            <w:top w:w="0" w:type="dxa"/>
            <w:left w:w="108" w:type="dxa"/>
            <w:bottom w:w="0" w:type="dxa"/>
            <w:right w:w="108" w:type="dxa"/>
          </w:tblCellMar>
        </w:tblPrEx>
        <w:trPr>
          <w:trHeight w:val="400" w:hRule="atLeast"/>
          <w:jc w:val="center"/>
        </w:trPr>
        <w:tc>
          <w:tcPr>
            <w:tcW w:w="1027" w:type="dxa"/>
            <w:vMerge w:val="continue"/>
            <w:tcBorders>
              <w:left w:val="single" w:color="auto" w:sz="4" w:space="0"/>
              <w:right w:val="single" w:color="auto" w:sz="4" w:space="0"/>
            </w:tcBorders>
            <w:vAlign w:val="center"/>
          </w:tcPr>
          <w:p>
            <w:pPr>
              <w:rPr>
                <w:rFonts w:ascii="Times New Roman" w:hAnsi="Times New Roman" w:eastAsia="仿宋_GB2312" w:cs="Times New Roman"/>
                <w:sz w:val="20"/>
                <w:szCs w:val="20"/>
              </w:rPr>
            </w:pPr>
          </w:p>
        </w:tc>
        <w:tc>
          <w:tcPr>
            <w:tcW w:w="1035" w:type="dxa"/>
            <w:vMerge w:val="continue"/>
            <w:tcBorders>
              <w:left w:val="nil"/>
              <w:right w:val="single" w:color="auto" w:sz="4" w:space="0"/>
            </w:tcBorders>
            <w:vAlign w:val="center"/>
          </w:tcPr>
          <w:p>
            <w:pPr>
              <w:rPr>
                <w:rFonts w:ascii="Times New Roman" w:hAnsi="Times New Roman" w:eastAsia="仿宋_GB2312" w:cs="Times New Roman"/>
                <w:sz w:val="20"/>
                <w:szCs w:val="20"/>
              </w:rPr>
            </w:pPr>
          </w:p>
        </w:tc>
        <w:tc>
          <w:tcPr>
            <w:tcW w:w="923"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时效指标</w:t>
            </w:r>
          </w:p>
        </w:tc>
        <w:tc>
          <w:tcPr>
            <w:tcW w:w="2070" w:type="dxa"/>
            <w:gridSpan w:val="3"/>
            <w:tcBorders>
              <w:top w:val="nil"/>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仿宋_GB2312" w:cs="Times New Roman"/>
                <w:color w:val="auto"/>
                <w:sz w:val="20"/>
                <w:szCs w:val="20"/>
                <w:lang w:eastAsia="zh-CN"/>
              </w:rPr>
            </w:pPr>
            <w:r>
              <w:rPr>
                <w:rFonts w:hint="eastAsia" w:ascii="仿宋" w:hAnsi="仿宋" w:eastAsia="仿宋" w:cs="仿宋"/>
                <w:color w:val="auto"/>
                <w:kern w:val="0"/>
                <w:sz w:val="18"/>
                <w:szCs w:val="18"/>
                <w:lang w:eastAsia="zh-CN"/>
              </w:rPr>
              <w:t>项目服务期限</w:t>
            </w:r>
          </w:p>
        </w:tc>
        <w:tc>
          <w:tcPr>
            <w:tcW w:w="990"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仿宋_GB2312" w:cs="Times New Roman"/>
                <w:color w:val="auto"/>
                <w:sz w:val="20"/>
                <w:szCs w:val="20"/>
                <w:lang w:eastAsia="zh-CN"/>
              </w:rPr>
            </w:pPr>
            <w:r>
              <w:rPr>
                <w:rFonts w:hint="eastAsia" w:ascii="仿宋" w:hAnsi="仿宋" w:eastAsia="仿宋" w:cs="仿宋"/>
                <w:color w:val="auto"/>
                <w:kern w:val="0"/>
                <w:sz w:val="18"/>
                <w:szCs w:val="18"/>
                <w:lang w:val="en-US" w:eastAsia="zh-CN"/>
              </w:rPr>
              <w:t>1年</w:t>
            </w:r>
          </w:p>
        </w:tc>
        <w:tc>
          <w:tcPr>
            <w:tcW w:w="117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仿宋_GB2312" w:cs="Times New Roman"/>
                <w:color w:val="auto"/>
                <w:sz w:val="20"/>
                <w:szCs w:val="20"/>
                <w:lang w:eastAsia="zh-CN"/>
              </w:rPr>
            </w:pPr>
            <w:r>
              <w:rPr>
                <w:rFonts w:hint="eastAsia" w:ascii="仿宋" w:hAnsi="仿宋" w:eastAsia="仿宋" w:cs="仿宋"/>
                <w:color w:val="auto"/>
                <w:kern w:val="0"/>
                <w:sz w:val="18"/>
                <w:szCs w:val="18"/>
                <w:lang w:val="en-US" w:eastAsia="zh-CN"/>
              </w:rPr>
              <w:t>1年</w:t>
            </w:r>
          </w:p>
        </w:tc>
        <w:tc>
          <w:tcPr>
            <w:tcW w:w="735" w:type="dxa"/>
            <w:gridSpan w:val="2"/>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5</w:t>
            </w:r>
          </w:p>
        </w:tc>
        <w:tc>
          <w:tcPr>
            <w:tcW w:w="720" w:type="dxa"/>
            <w:gridSpan w:val="2"/>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lang w:val="en-US"/>
              </w:rPr>
            </w:pPr>
            <w:r>
              <w:rPr>
                <w:rFonts w:hint="eastAsia" w:ascii="Times New Roman" w:hAnsi="Times New Roman" w:eastAsia="仿宋_GB2312" w:cs="Times New Roman"/>
                <w:color w:val="auto"/>
                <w:sz w:val="20"/>
                <w:szCs w:val="20"/>
                <w:lang w:val="en-US" w:eastAsia="zh-CN"/>
              </w:rPr>
              <w:t>5</w:t>
            </w:r>
          </w:p>
        </w:tc>
        <w:tc>
          <w:tcPr>
            <w:tcW w:w="110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FF0000"/>
                <w:sz w:val="20"/>
                <w:szCs w:val="20"/>
              </w:rPr>
            </w:pPr>
          </w:p>
        </w:tc>
      </w:tr>
      <w:tr>
        <w:tblPrEx>
          <w:tblLayout w:type="fixed"/>
          <w:tblCellMar>
            <w:top w:w="0" w:type="dxa"/>
            <w:left w:w="108" w:type="dxa"/>
            <w:bottom w:w="0" w:type="dxa"/>
            <w:right w:w="108" w:type="dxa"/>
          </w:tblCellMar>
        </w:tblPrEx>
        <w:trPr>
          <w:trHeight w:val="490" w:hRule="atLeast"/>
          <w:jc w:val="center"/>
        </w:trPr>
        <w:tc>
          <w:tcPr>
            <w:tcW w:w="1027" w:type="dxa"/>
            <w:vMerge w:val="continue"/>
            <w:tcBorders>
              <w:left w:val="single" w:color="auto" w:sz="4" w:space="0"/>
              <w:right w:val="single" w:color="auto" w:sz="4" w:space="0"/>
            </w:tcBorders>
            <w:vAlign w:val="center"/>
          </w:tcPr>
          <w:p>
            <w:pPr>
              <w:rPr>
                <w:rFonts w:ascii="Times New Roman" w:hAnsi="Times New Roman" w:eastAsia="仿宋_GB2312" w:cs="Times New Roman"/>
                <w:sz w:val="20"/>
                <w:szCs w:val="20"/>
              </w:rPr>
            </w:pPr>
          </w:p>
        </w:tc>
        <w:tc>
          <w:tcPr>
            <w:tcW w:w="1035" w:type="dxa"/>
            <w:vMerge w:val="continue"/>
            <w:tcBorders>
              <w:left w:val="nil"/>
              <w:right w:val="single" w:color="auto" w:sz="4" w:space="0"/>
            </w:tcBorders>
            <w:vAlign w:val="center"/>
          </w:tcPr>
          <w:p>
            <w:pPr>
              <w:rPr>
                <w:rFonts w:ascii="Times New Roman" w:hAnsi="Times New Roman" w:eastAsia="仿宋_GB2312" w:cs="Times New Roman"/>
                <w:sz w:val="20"/>
                <w:szCs w:val="20"/>
              </w:rPr>
            </w:pPr>
          </w:p>
        </w:tc>
        <w:tc>
          <w:tcPr>
            <w:tcW w:w="923"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0"/>
                <w:szCs w:val="20"/>
              </w:rPr>
            </w:pPr>
          </w:p>
        </w:tc>
        <w:tc>
          <w:tcPr>
            <w:tcW w:w="2070" w:type="dxa"/>
            <w:gridSpan w:val="3"/>
            <w:tcBorders>
              <w:top w:val="nil"/>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auto"/>
                <w:kern w:val="0"/>
                <w:sz w:val="18"/>
                <w:szCs w:val="18"/>
                <w:lang w:eastAsia="zh-CN"/>
              </w:rPr>
            </w:pPr>
            <w:r>
              <w:rPr>
                <w:rFonts w:hint="eastAsia" w:ascii="仿宋" w:hAnsi="仿宋" w:eastAsia="仿宋" w:cs="仿宋"/>
                <w:color w:val="auto"/>
                <w:kern w:val="0"/>
                <w:sz w:val="18"/>
                <w:szCs w:val="18"/>
                <w:lang w:eastAsia="zh-CN"/>
              </w:rPr>
              <w:t>培训、会议任务完成时间</w:t>
            </w:r>
          </w:p>
        </w:tc>
        <w:tc>
          <w:tcPr>
            <w:tcW w:w="990" w:type="dxa"/>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202</w:t>
            </w:r>
            <w:r>
              <w:rPr>
                <w:rFonts w:hint="eastAsia" w:ascii="仿宋" w:hAnsi="仿宋" w:eastAsia="仿宋" w:cs="仿宋"/>
                <w:color w:val="auto"/>
                <w:kern w:val="0"/>
                <w:sz w:val="18"/>
                <w:szCs w:val="18"/>
                <w:lang w:val="en-US" w:eastAsia="zh-CN"/>
              </w:rPr>
              <w:t>3</w:t>
            </w:r>
            <w:r>
              <w:rPr>
                <w:rFonts w:hint="eastAsia" w:ascii="仿宋" w:hAnsi="仿宋" w:eastAsia="仿宋" w:cs="仿宋"/>
                <w:color w:val="auto"/>
                <w:kern w:val="0"/>
                <w:sz w:val="18"/>
                <w:szCs w:val="18"/>
              </w:rPr>
              <w:t>年12月31日前</w:t>
            </w:r>
          </w:p>
        </w:tc>
        <w:tc>
          <w:tcPr>
            <w:tcW w:w="117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202</w:t>
            </w:r>
            <w:r>
              <w:rPr>
                <w:rFonts w:hint="eastAsia" w:ascii="仿宋" w:hAnsi="仿宋" w:eastAsia="仿宋" w:cs="仿宋"/>
                <w:color w:val="auto"/>
                <w:kern w:val="0"/>
                <w:sz w:val="18"/>
                <w:szCs w:val="18"/>
                <w:lang w:val="en-US" w:eastAsia="zh-CN"/>
              </w:rPr>
              <w:t>3</w:t>
            </w:r>
            <w:r>
              <w:rPr>
                <w:rFonts w:hint="eastAsia" w:ascii="仿宋" w:hAnsi="仿宋" w:eastAsia="仿宋" w:cs="仿宋"/>
                <w:color w:val="auto"/>
                <w:kern w:val="0"/>
                <w:sz w:val="18"/>
                <w:szCs w:val="18"/>
              </w:rPr>
              <w:t>年12月31日前</w:t>
            </w:r>
          </w:p>
        </w:tc>
        <w:tc>
          <w:tcPr>
            <w:tcW w:w="735" w:type="dxa"/>
            <w:gridSpan w:val="2"/>
            <w:tcBorders>
              <w:top w:val="nil"/>
              <w:left w:val="nil"/>
              <w:bottom w:val="single" w:color="auto" w:sz="4" w:space="0"/>
              <w:right w:val="single" w:color="auto" w:sz="4" w:space="0"/>
            </w:tcBorders>
            <w:vAlign w:val="center"/>
          </w:tcPr>
          <w:p>
            <w:pPr>
              <w:jc w:val="center"/>
              <w:rPr>
                <w:rFonts w:hint="eastAsia" w:ascii="仿宋" w:hAnsi="仿宋" w:eastAsia="仿宋" w:cs="仿宋"/>
                <w:color w:val="auto"/>
                <w:kern w:val="0"/>
                <w:sz w:val="18"/>
                <w:szCs w:val="18"/>
                <w:lang w:val="en-US" w:eastAsia="zh-CN"/>
              </w:rPr>
            </w:pPr>
            <w:r>
              <w:rPr>
                <w:rFonts w:hint="eastAsia" w:ascii="Times New Roman" w:hAnsi="Times New Roman" w:eastAsia="仿宋_GB2312" w:cs="Times New Roman"/>
                <w:color w:val="auto"/>
                <w:sz w:val="20"/>
                <w:szCs w:val="20"/>
                <w:lang w:val="en-US" w:eastAsia="zh-CN"/>
              </w:rPr>
              <w:t>5</w:t>
            </w:r>
          </w:p>
        </w:tc>
        <w:tc>
          <w:tcPr>
            <w:tcW w:w="720" w:type="dxa"/>
            <w:gridSpan w:val="2"/>
            <w:tcBorders>
              <w:top w:val="nil"/>
              <w:left w:val="nil"/>
              <w:bottom w:val="single" w:color="auto" w:sz="4" w:space="0"/>
              <w:right w:val="single" w:color="auto" w:sz="4" w:space="0"/>
            </w:tcBorders>
            <w:vAlign w:val="center"/>
          </w:tcPr>
          <w:p>
            <w:pPr>
              <w:jc w:val="center"/>
              <w:rPr>
                <w:rFonts w:hint="eastAsia" w:ascii="仿宋" w:hAnsi="仿宋" w:eastAsia="仿宋" w:cs="仿宋"/>
                <w:color w:val="auto"/>
                <w:kern w:val="0"/>
                <w:sz w:val="18"/>
                <w:szCs w:val="18"/>
                <w:lang w:val="en-US" w:eastAsia="zh-CN"/>
              </w:rPr>
            </w:pPr>
            <w:r>
              <w:rPr>
                <w:rFonts w:hint="eastAsia" w:ascii="Times New Roman" w:hAnsi="Times New Roman" w:eastAsia="仿宋_GB2312" w:cs="Times New Roman"/>
                <w:color w:val="auto"/>
                <w:sz w:val="20"/>
                <w:szCs w:val="20"/>
                <w:lang w:val="en-US" w:eastAsia="zh-CN"/>
              </w:rPr>
              <w:t>5</w:t>
            </w:r>
          </w:p>
        </w:tc>
        <w:tc>
          <w:tcPr>
            <w:tcW w:w="110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FF0000"/>
                <w:sz w:val="20"/>
                <w:szCs w:val="20"/>
              </w:rPr>
            </w:pPr>
          </w:p>
        </w:tc>
      </w:tr>
      <w:tr>
        <w:tblPrEx>
          <w:tblLayout w:type="fixed"/>
          <w:tblCellMar>
            <w:top w:w="0" w:type="dxa"/>
            <w:left w:w="108" w:type="dxa"/>
            <w:bottom w:w="0" w:type="dxa"/>
            <w:right w:w="108" w:type="dxa"/>
          </w:tblCellMar>
        </w:tblPrEx>
        <w:trPr>
          <w:jc w:val="center"/>
        </w:trPr>
        <w:tc>
          <w:tcPr>
            <w:tcW w:w="1027" w:type="dxa"/>
            <w:vMerge w:val="continue"/>
            <w:tcBorders>
              <w:left w:val="single" w:color="auto" w:sz="4" w:space="0"/>
              <w:right w:val="single" w:color="auto" w:sz="4" w:space="0"/>
            </w:tcBorders>
            <w:vAlign w:val="center"/>
          </w:tcPr>
          <w:p>
            <w:pPr>
              <w:rPr>
                <w:rFonts w:ascii="Times New Roman" w:hAnsi="Times New Roman" w:eastAsia="仿宋_GB2312" w:cs="Times New Roman"/>
                <w:sz w:val="20"/>
                <w:szCs w:val="20"/>
              </w:rPr>
            </w:pPr>
          </w:p>
        </w:tc>
        <w:tc>
          <w:tcPr>
            <w:tcW w:w="1035" w:type="dxa"/>
            <w:vMerge w:val="continue"/>
            <w:tcBorders>
              <w:left w:val="nil"/>
              <w:right w:val="single" w:color="auto" w:sz="4" w:space="0"/>
            </w:tcBorders>
            <w:vAlign w:val="center"/>
          </w:tcPr>
          <w:p>
            <w:pPr>
              <w:rPr>
                <w:rFonts w:ascii="Times New Roman" w:hAnsi="Times New Roman" w:eastAsia="仿宋_GB2312" w:cs="Times New Roman"/>
                <w:sz w:val="20"/>
                <w:szCs w:val="20"/>
              </w:rPr>
            </w:pPr>
          </w:p>
        </w:tc>
        <w:tc>
          <w:tcPr>
            <w:tcW w:w="923" w:type="dxa"/>
            <w:vMerge w:val="restart"/>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成本指标</w:t>
            </w:r>
          </w:p>
        </w:tc>
        <w:tc>
          <w:tcPr>
            <w:tcW w:w="2070" w:type="dxa"/>
            <w:gridSpan w:val="3"/>
            <w:tcBorders>
              <w:top w:val="nil"/>
              <w:left w:val="nil"/>
              <w:bottom w:val="single" w:color="auto" w:sz="4" w:space="0"/>
              <w:right w:val="single" w:color="auto" w:sz="4" w:space="0"/>
            </w:tcBorders>
            <w:vAlign w:val="center"/>
          </w:tcPr>
          <w:p>
            <w:pP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eastAsia="zh-CN"/>
              </w:rPr>
              <w:t>网络监管系统数据服务工作项目成本</w:t>
            </w:r>
          </w:p>
        </w:tc>
        <w:tc>
          <w:tcPr>
            <w:tcW w:w="990" w:type="dxa"/>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eastAsia="zh-CN"/>
              </w:rPr>
            </w:pPr>
            <w:r>
              <w:rPr>
                <w:rFonts w:hint="eastAsia" w:ascii="仿宋" w:hAnsi="仿宋" w:eastAsia="仿宋" w:cs="仿宋"/>
                <w:color w:val="auto"/>
                <w:kern w:val="0"/>
                <w:sz w:val="18"/>
                <w:szCs w:val="18"/>
                <w:lang w:val="en-US" w:eastAsia="zh-CN"/>
              </w:rPr>
              <w:t>≤45.30万元</w:t>
            </w:r>
          </w:p>
        </w:tc>
        <w:tc>
          <w:tcPr>
            <w:tcW w:w="1170" w:type="dxa"/>
            <w:gridSpan w:val="2"/>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val="en-US" w:eastAsia="zh-CN"/>
              </w:rPr>
            </w:pPr>
            <w:r>
              <w:rPr>
                <w:rFonts w:hint="eastAsia" w:ascii="仿宋" w:hAnsi="仿宋" w:eastAsia="仿宋" w:cs="仿宋"/>
                <w:color w:val="auto"/>
                <w:kern w:val="0"/>
                <w:sz w:val="18"/>
                <w:szCs w:val="18"/>
                <w:lang w:val="en-US" w:eastAsia="zh-CN"/>
              </w:rPr>
              <w:t>37.28万元</w:t>
            </w:r>
          </w:p>
        </w:tc>
        <w:tc>
          <w:tcPr>
            <w:tcW w:w="735" w:type="dxa"/>
            <w:gridSpan w:val="2"/>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5</w:t>
            </w:r>
          </w:p>
        </w:tc>
        <w:tc>
          <w:tcPr>
            <w:tcW w:w="720" w:type="dxa"/>
            <w:gridSpan w:val="2"/>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5</w:t>
            </w:r>
          </w:p>
        </w:tc>
        <w:tc>
          <w:tcPr>
            <w:tcW w:w="110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FF0000"/>
                <w:sz w:val="20"/>
                <w:szCs w:val="20"/>
              </w:rPr>
            </w:pPr>
          </w:p>
        </w:tc>
      </w:tr>
      <w:tr>
        <w:tblPrEx>
          <w:tblLayout w:type="fixed"/>
          <w:tblCellMar>
            <w:top w:w="0" w:type="dxa"/>
            <w:left w:w="108" w:type="dxa"/>
            <w:bottom w:w="0" w:type="dxa"/>
            <w:right w:w="108" w:type="dxa"/>
          </w:tblCellMar>
        </w:tblPrEx>
        <w:trPr>
          <w:jc w:val="center"/>
        </w:trPr>
        <w:tc>
          <w:tcPr>
            <w:tcW w:w="1027" w:type="dxa"/>
            <w:vMerge w:val="continue"/>
            <w:tcBorders>
              <w:left w:val="single" w:color="auto" w:sz="4" w:space="0"/>
              <w:right w:val="single" w:color="auto" w:sz="4" w:space="0"/>
            </w:tcBorders>
            <w:vAlign w:val="center"/>
          </w:tcPr>
          <w:p>
            <w:pPr>
              <w:rPr>
                <w:rFonts w:ascii="Times New Roman" w:hAnsi="Times New Roman" w:eastAsia="仿宋_GB2312" w:cs="Times New Roman"/>
                <w:sz w:val="20"/>
                <w:szCs w:val="20"/>
              </w:rPr>
            </w:pPr>
          </w:p>
        </w:tc>
        <w:tc>
          <w:tcPr>
            <w:tcW w:w="1035" w:type="dxa"/>
            <w:vMerge w:val="continue"/>
            <w:tcBorders>
              <w:left w:val="nil"/>
              <w:bottom w:val="single" w:color="auto" w:sz="4" w:space="0"/>
              <w:right w:val="single" w:color="auto" w:sz="4" w:space="0"/>
            </w:tcBorders>
            <w:vAlign w:val="center"/>
          </w:tcPr>
          <w:p>
            <w:pPr>
              <w:rPr>
                <w:rFonts w:ascii="Times New Roman" w:hAnsi="Times New Roman" w:eastAsia="仿宋_GB2312" w:cs="Times New Roman"/>
                <w:sz w:val="20"/>
                <w:szCs w:val="20"/>
              </w:rPr>
            </w:pPr>
          </w:p>
        </w:tc>
        <w:tc>
          <w:tcPr>
            <w:tcW w:w="923" w:type="dxa"/>
            <w:vMerge w:val="continue"/>
            <w:tcBorders>
              <w:top w:val="single" w:color="auto" w:sz="4" w:space="0"/>
              <w:left w:val="nil"/>
              <w:bottom w:val="single" w:color="auto" w:sz="4" w:space="0"/>
              <w:right w:val="single" w:color="auto" w:sz="4" w:space="0"/>
            </w:tcBorders>
            <w:vAlign w:val="center"/>
          </w:tcPr>
          <w:p>
            <w:pPr>
              <w:rPr>
                <w:rFonts w:ascii="Times New Roman" w:hAnsi="Times New Roman" w:eastAsia="仿宋_GB2312" w:cs="Times New Roman"/>
                <w:sz w:val="20"/>
                <w:szCs w:val="20"/>
              </w:rPr>
            </w:pPr>
          </w:p>
        </w:tc>
        <w:tc>
          <w:tcPr>
            <w:tcW w:w="2070" w:type="dxa"/>
            <w:gridSpan w:val="3"/>
            <w:tcBorders>
              <w:top w:val="nil"/>
              <w:left w:val="nil"/>
              <w:bottom w:val="single" w:color="auto" w:sz="4" w:space="0"/>
              <w:right w:val="single" w:color="auto" w:sz="4" w:space="0"/>
            </w:tcBorders>
            <w:vAlign w:val="center"/>
          </w:tcPr>
          <w:p>
            <w:pP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eastAsia="zh-CN"/>
              </w:rPr>
              <w:t>网监人员业务能力培训及研判会成本</w:t>
            </w:r>
          </w:p>
        </w:tc>
        <w:tc>
          <w:tcPr>
            <w:tcW w:w="990" w:type="dxa"/>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val="en-US" w:eastAsia="zh-CN"/>
              </w:rPr>
            </w:pPr>
            <w:r>
              <w:rPr>
                <w:rFonts w:hint="eastAsia" w:ascii="仿宋" w:hAnsi="仿宋" w:eastAsia="仿宋" w:cs="仿宋"/>
                <w:color w:val="auto"/>
                <w:kern w:val="0"/>
                <w:sz w:val="18"/>
                <w:szCs w:val="18"/>
                <w:lang w:val="en-US" w:eastAsia="zh-CN"/>
              </w:rPr>
              <w:t>≤23.90万元</w:t>
            </w:r>
          </w:p>
        </w:tc>
        <w:tc>
          <w:tcPr>
            <w:tcW w:w="1170" w:type="dxa"/>
            <w:gridSpan w:val="2"/>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val="en-US" w:eastAsia="zh-CN"/>
              </w:rPr>
            </w:pPr>
            <w:r>
              <w:rPr>
                <w:rFonts w:hint="eastAsia" w:ascii="仿宋" w:hAnsi="仿宋" w:eastAsia="仿宋" w:cs="仿宋"/>
                <w:color w:val="auto"/>
                <w:kern w:val="0"/>
                <w:sz w:val="18"/>
                <w:szCs w:val="18"/>
                <w:lang w:val="en-US" w:eastAsia="zh-CN"/>
              </w:rPr>
              <w:t>10.97万元</w:t>
            </w:r>
          </w:p>
        </w:tc>
        <w:tc>
          <w:tcPr>
            <w:tcW w:w="735" w:type="dxa"/>
            <w:gridSpan w:val="2"/>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5</w:t>
            </w:r>
          </w:p>
        </w:tc>
        <w:tc>
          <w:tcPr>
            <w:tcW w:w="720" w:type="dxa"/>
            <w:gridSpan w:val="2"/>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5</w:t>
            </w:r>
          </w:p>
        </w:tc>
        <w:tc>
          <w:tcPr>
            <w:tcW w:w="110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FF0000"/>
                <w:sz w:val="20"/>
                <w:szCs w:val="20"/>
              </w:rPr>
            </w:pPr>
          </w:p>
        </w:tc>
      </w:tr>
      <w:tr>
        <w:tblPrEx>
          <w:tblLayout w:type="fixed"/>
          <w:tblCellMar>
            <w:top w:w="0" w:type="dxa"/>
            <w:left w:w="108" w:type="dxa"/>
            <w:bottom w:w="0" w:type="dxa"/>
            <w:right w:w="108" w:type="dxa"/>
          </w:tblCellMar>
        </w:tblPrEx>
        <w:trPr>
          <w:jc w:val="center"/>
        </w:trPr>
        <w:tc>
          <w:tcPr>
            <w:tcW w:w="1027" w:type="dxa"/>
            <w:vMerge w:val="continue"/>
            <w:tcBorders>
              <w:left w:val="single" w:color="auto" w:sz="4" w:space="0"/>
              <w:right w:val="single" w:color="auto" w:sz="4" w:space="0"/>
            </w:tcBorders>
            <w:vAlign w:val="center"/>
          </w:tcPr>
          <w:p>
            <w:pPr>
              <w:rPr>
                <w:rFonts w:ascii="Times New Roman" w:hAnsi="Times New Roman" w:eastAsia="仿宋_GB2312" w:cs="Times New Roman"/>
                <w:sz w:val="20"/>
                <w:szCs w:val="20"/>
              </w:rPr>
            </w:pPr>
          </w:p>
        </w:tc>
        <w:tc>
          <w:tcPr>
            <w:tcW w:w="1035" w:type="dxa"/>
            <w:vMerge w:val="restart"/>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效益指标</w:t>
            </w:r>
          </w:p>
          <w:p>
            <w:pPr>
              <w:rPr>
                <w:rFonts w:ascii="Times New Roman" w:hAnsi="Times New Roman" w:eastAsia="仿宋_GB2312" w:cs="Times New Roman"/>
                <w:sz w:val="20"/>
                <w:szCs w:val="20"/>
              </w:rPr>
            </w:pPr>
          </w:p>
          <w:p>
            <w:pPr>
              <w:rPr>
                <w:rFonts w:ascii="Times New Roman" w:hAnsi="Times New Roman" w:eastAsia="仿宋_GB2312" w:cs="Times New Roman"/>
                <w:sz w:val="20"/>
                <w:szCs w:val="20"/>
              </w:rPr>
            </w:pPr>
            <w:r>
              <w:rPr>
                <w:rFonts w:ascii="Times New Roman" w:hAnsi="Times New Roman" w:eastAsia="仿宋_GB2312" w:cs="Times New Roman"/>
                <w:sz w:val="20"/>
                <w:szCs w:val="20"/>
              </w:rPr>
              <w:t>（30分）</w:t>
            </w:r>
          </w:p>
          <w:p>
            <w:pPr>
              <w:rPr>
                <w:rFonts w:ascii="Times New Roman" w:hAnsi="Times New Roman" w:eastAsia="仿宋_GB2312" w:cs="Times New Roman"/>
                <w:sz w:val="20"/>
                <w:szCs w:val="20"/>
              </w:rPr>
            </w:pPr>
          </w:p>
        </w:tc>
        <w:tc>
          <w:tcPr>
            <w:tcW w:w="923" w:type="dxa"/>
            <w:tcBorders>
              <w:top w:val="single" w:color="auto" w:sz="4" w:space="0"/>
              <w:left w:val="nil"/>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社会效</w:t>
            </w:r>
          </w:p>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益指标</w:t>
            </w:r>
          </w:p>
        </w:tc>
        <w:tc>
          <w:tcPr>
            <w:tcW w:w="2070" w:type="dxa"/>
            <w:gridSpan w:val="3"/>
            <w:tcBorders>
              <w:top w:val="nil"/>
              <w:left w:val="nil"/>
              <w:bottom w:val="single" w:color="auto" w:sz="4" w:space="0"/>
              <w:right w:val="single" w:color="auto" w:sz="4" w:space="0"/>
            </w:tcBorders>
            <w:vAlign w:val="center"/>
          </w:tcPr>
          <w:p>
            <w:pPr>
              <w:rPr>
                <w:rFonts w:hint="eastAsia" w:ascii="Times New Roman" w:hAnsi="Times New Roman" w:eastAsia="仿宋_GB2312" w:cs="Times New Roman"/>
                <w:color w:val="auto"/>
                <w:sz w:val="20"/>
                <w:szCs w:val="20"/>
                <w:lang w:eastAsia="zh-CN"/>
              </w:rPr>
            </w:pPr>
            <w:r>
              <w:rPr>
                <w:rFonts w:hint="eastAsia" w:ascii="Times New Roman" w:hAnsi="Times New Roman" w:eastAsia="仿宋_GB2312" w:cs="Times New Roman"/>
                <w:color w:val="auto"/>
                <w:sz w:val="20"/>
                <w:szCs w:val="20"/>
                <w:lang w:eastAsia="zh-CN"/>
              </w:rPr>
              <w:t>营造良好的网络环境</w:t>
            </w:r>
          </w:p>
        </w:tc>
        <w:tc>
          <w:tcPr>
            <w:tcW w:w="990" w:type="dxa"/>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eastAsia="zh-CN"/>
              </w:rPr>
            </w:pPr>
            <w:r>
              <w:rPr>
                <w:rFonts w:hint="eastAsia" w:ascii="Times New Roman" w:hAnsi="Times New Roman" w:eastAsia="仿宋_GB2312" w:cs="Times New Roman"/>
                <w:color w:val="auto"/>
                <w:sz w:val="20"/>
                <w:szCs w:val="20"/>
                <w:lang w:eastAsia="zh-CN"/>
              </w:rPr>
              <w:t>逐步完善</w:t>
            </w:r>
          </w:p>
        </w:tc>
        <w:tc>
          <w:tcPr>
            <w:tcW w:w="1170" w:type="dxa"/>
            <w:gridSpan w:val="2"/>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eastAsia="zh-CN"/>
              </w:rPr>
            </w:pPr>
            <w:r>
              <w:rPr>
                <w:rFonts w:hint="eastAsia" w:ascii="Times New Roman" w:hAnsi="Times New Roman" w:eastAsia="仿宋_GB2312" w:cs="Times New Roman"/>
                <w:color w:val="auto"/>
                <w:sz w:val="20"/>
                <w:szCs w:val="20"/>
                <w:lang w:eastAsia="zh-CN"/>
              </w:rPr>
              <w:t>逐步完善</w:t>
            </w:r>
          </w:p>
        </w:tc>
        <w:tc>
          <w:tcPr>
            <w:tcW w:w="735" w:type="dxa"/>
            <w:gridSpan w:val="2"/>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15</w:t>
            </w:r>
          </w:p>
        </w:tc>
        <w:tc>
          <w:tcPr>
            <w:tcW w:w="720" w:type="dxa"/>
            <w:gridSpan w:val="2"/>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15</w:t>
            </w:r>
          </w:p>
        </w:tc>
        <w:tc>
          <w:tcPr>
            <w:tcW w:w="110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FF0000"/>
                <w:sz w:val="20"/>
                <w:szCs w:val="20"/>
              </w:rPr>
            </w:pPr>
          </w:p>
        </w:tc>
      </w:tr>
      <w:tr>
        <w:tblPrEx>
          <w:tblLayout w:type="fixed"/>
          <w:tblCellMar>
            <w:top w:w="0" w:type="dxa"/>
            <w:left w:w="108" w:type="dxa"/>
            <w:bottom w:w="0" w:type="dxa"/>
            <w:right w:w="108" w:type="dxa"/>
          </w:tblCellMar>
        </w:tblPrEx>
        <w:trPr>
          <w:jc w:val="center"/>
        </w:trPr>
        <w:tc>
          <w:tcPr>
            <w:tcW w:w="1027" w:type="dxa"/>
            <w:vMerge w:val="continue"/>
            <w:tcBorders>
              <w:left w:val="single" w:color="auto" w:sz="4" w:space="0"/>
              <w:right w:val="single" w:color="auto" w:sz="4" w:space="0"/>
            </w:tcBorders>
            <w:vAlign w:val="center"/>
          </w:tcPr>
          <w:p>
            <w:pPr>
              <w:jc w:val="center"/>
              <w:rPr>
                <w:rFonts w:ascii="Times New Roman" w:hAnsi="Times New Roman" w:eastAsia="仿宋_GB2312" w:cs="Times New Roman"/>
                <w:sz w:val="20"/>
                <w:szCs w:val="20"/>
              </w:rPr>
            </w:pPr>
          </w:p>
        </w:tc>
        <w:tc>
          <w:tcPr>
            <w:tcW w:w="1035"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0"/>
                <w:szCs w:val="20"/>
              </w:rPr>
            </w:pPr>
          </w:p>
        </w:tc>
        <w:tc>
          <w:tcPr>
            <w:tcW w:w="92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可持续影响指标</w:t>
            </w:r>
          </w:p>
        </w:tc>
        <w:tc>
          <w:tcPr>
            <w:tcW w:w="2070"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Times New Roman" w:hAnsi="Times New Roman" w:eastAsia="仿宋_GB2312" w:cs="Times New Roman"/>
                <w:color w:val="auto"/>
                <w:sz w:val="20"/>
                <w:szCs w:val="20"/>
                <w:lang w:eastAsia="zh-CN"/>
              </w:rPr>
            </w:pPr>
            <w:r>
              <w:rPr>
                <w:rFonts w:hint="eastAsia" w:ascii="Times New Roman" w:hAnsi="Times New Roman" w:eastAsia="仿宋_GB2312" w:cs="Times New Roman"/>
                <w:color w:val="auto"/>
                <w:sz w:val="20"/>
                <w:szCs w:val="20"/>
                <w:lang w:eastAsia="zh-CN"/>
              </w:rPr>
              <w:t>网络市场交易环境维护</w:t>
            </w:r>
          </w:p>
        </w:tc>
        <w:tc>
          <w:tcPr>
            <w:tcW w:w="99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eastAsia="zh-CN"/>
              </w:rPr>
            </w:pPr>
            <w:r>
              <w:rPr>
                <w:rFonts w:hint="eastAsia" w:ascii="Times New Roman" w:hAnsi="Times New Roman" w:eastAsia="仿宋_GB2312" w:cs="Times New Roman"/>
                <w:color w:val="auto"/>
                <w:sz w:val="20"/>
                <w:szCs w:val="20"/>
                <w:lang w:eastAsia="zh-CN"/>
              </w:rPr>
              <w:t>持续支撑</w:t>
            </w:r>
          </w:p>
        </w:tc>
        <w:tc>
          <w:tcPr>
            <w:tcW w:w="11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eastAsia="zh-CN"/>
              </w:rPr>
            </w:pPr>
            <w:r>
              <w:rPr>
                <w:rFonts w:hint="eastAsia" w:ascii="Times New Roman" w:hAnsi="Times New Roman" w:eastAsia="仿宋_GB2312" w:cs="Times New Roman"/>
                <w:color w:val="auto"/>
                <w:sz w:val="20"/>
                <w:szCs w:val="20"/>
                <w:lang w:eastAsia="zh-CN"/>
              </w:rPr>
              <w:t>持续支撑</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15</w:t>
            </w:r>
          </w:p>
        </w:tc>
        <w:tc>
          <w:tcPr>
            <w:tcW w:w="72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15</w:t>
            </w:r>
          </w:p>
        </w:tc>
        <w:tc>
          <w:tcPr>
            <w:tcW w:w="110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color w:val="FF0000"/>
                <w:sz w:val="20"/>
                <w:szCs w:val="20"/>
              </w:rPr>
            </w:pPr>
          </w:p>
        </w:tc>
      </w:tr>
      <w:tr>
        <w:tblPrEx>
          <w:tblLayout w:type="fixed"/>
          <w:tblCellMar>
            <w:top w:w="0" w:type="dxa"/>
            <w:left w:w="108" w:type="dxa"/>
            <w:bottom w:w="0" w:type="dxa"/>
            <w:right w:w="108" w:type="dxa"/>
          </w:tblCellMar>
        </w:tblPrEx>
        <w:trPr>
          <w:jc w:val="center"/>
        </w:trPr>
        <w:tc>
          <w:tcPr>
            <w:tcW w:w="1027" w:type="dxa"/>
            <w:vMerge w:val="continue"/>
            <w:tcBorders>
              <w:left w:val="single" w:color="auto" w:sz="4" w:space="0"/>
              <w:right w:val="single" w:color="auto" w:sz="4" w:space="0"/>
            </w:tcBorders>
            <w:vAlign w:val="center"/>
          </w:tcPr>
          <w:p>
            <w:pPr>
              <w:rPr>
                <w:rFonts w:ascii="Times New Roman" w:hAnsi="Times New Roman" w:eastAsia="仿宋_GB2312" w:cs="Times New Roman"/>
                <w:sz w:val="20"/>
                <w:szCs w:val="20"/>
              </w:rPr>
            </w:pPr>
          </w:p>
        </w:tc>
        <w:tc>
          <w:tcPr>
            <w:tcW w:w="1035" w:type="dxa"/>
            <w:tcBorders>
              <w:top w:val="single" w:color="auto" w:sz="4" w:space="0"/>
              <w:left w:val="nil"/>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满意度</w:t>
            </w:r>
          </w:p>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指标</w:t>
            </w:r>
          </w:p>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（10分）</w:t>
            </w:r>
          </w:p>
        </w:tc>
        <w:tc>
          <w:tcPr>
            <w:tcW w:w="923" w:type="dxa"/>
            <w:tcBorders>
              <w:top w:val="single" w:color="auto" w:sz="4" w:space="0"/>
              <w:left w:val="nil"/>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服务对象满意度指标</w:t>
            </w:r>
          </w:p>
        </w:tc>
        <w:tc>
          <w:tcPr>
            <w:tcW w:w="2070" w:type="dxa"/>
            <w:gridSpan w:val="3"/>
            <w:tcBorders>
              <w:top w:val="nil"/>
              <w:left w:val="nil"/>
              <w:bottom w:val="single" w:color="auto" w:sz="4" w:space="0"/>
              <w:right w:val="single" w:color="auto" w:sz="4" w:space="0"/>
            </w:tcBorders>
            <w:vAlign w:val="center"/>
          </w:tcPr>
          <w:p>
            <w:pPr>
              <w:rPr>
                <w:rFonts w:hint="eastAsia" w:ascii="Times New Roman" w:hAnsi="Times New Roman" w:eastAsia="仿宋_GB2312" w:cs="Times New Roman"/>
                <w:color w:val="auto"/>
                <w:sz w:val="20"/>
                <w:szCs w:val="20"/>
                <w:lang w:eastAsia="zh-CN"/>
              </w:rPr>
            </w:pPr>
            <w:r>
              <w:rPr>
                <w:rFonts w:hint="eastAsia" w:ascii="Times New Roman" w:hAnsi="Times New Roman" w:eastAsia="仿宋_GB2312" w:cs="Times New Roman"/>
                <w:color w:val="auto"/>
                <w:sz w:val="20"/>
                <w:szCs w:val="20"/>
                <w:lang w:eastAsia="zh-CN"/>
              </w:rPr>
              <w:t>业务处室满意度</w:t>
            </w:r>
          </w:p>
        </w:tc>
        <w:tc>
          <w:tcPr>
            <w:tcW w:w="990" w:type="dxa"/>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val="en-US" w:eastAsia="zh-CN"/>
              </w:rPr>
            </w:pPr>
            <w:r>
              <w:rPr>
                <w:rFonts w:hint="eastAsia" w:ascii="仿宋" w:hAnsi="仿宋" w:eastAsia="仿宋" w:cs="仿宋"/>
                <w:color w:val="auto"/>
                <w:kern w:val="0"/>
                <w:sz w:val="18"/>
                <w:szCs w:val="18"/>
              </w:rPr>
              <w:t>≥</w:t>
            </w:r>
            <w:r>
              <w:rPr>
                <w:rFonts w:hint="eastAsia" w:ascii="仿宋" w:hAnsi="仿宋" w:eastAsia="仿宋" w:cs="仿宋"/>
                <w:color w:val="auto"/>
                <w:kern w:val="0"/>
                <w:sz w:val="18"/>
                <w:szCs w:val="18"/>
                <w:lang w:val="en-US" w:eastAsia="zh-CN"/>
              </w:rPr>
              <w:t>80%</w:t>
            </w:r>
          </w:p>
        </w:tc>
        <w:tc>
          <w:tcPr>
            <w:tcW w:w="1170" w:type="dxa"/>
            <w:gridSpan w:val="2"/>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val="en-US" w:eastAsia="zh-CN"/>
              </w:rPr>
            </w:pPr>
            <w:r>
              <w:rPr>
                <w:rFonts w:hint="eastAsia" w:ascii="仿宋" w:hAnsi="仿宋" w:eastAsia="仿宋" w:cs="仿宋"/>
                <w:color w:val="auto"/>
                <w:kern w:val="0"/>
                <w:sz w:val="18"/>
                <w:szCs w:val="18"/>
                <w:lang w:val="en-US" w:eastAsia="zh-CN"/>
              </w:rPr>
              <w:t>90%</w:t>
            </w:r>
          </w:p>
        </w:tc>
        <w:tc>
          <w:tcPr>
            <w:tcW w:w="735" w:type="dxa"/>
            <w:gridSpan w:val="2"/>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10</w:t>
            </w:r>
          </w:p>
        </w:tc>
        <w:tc>
          <w:tcPr>
            <w:tcW w:w="720" w:type="dxa"/>
            <w:gridSpan w:val="2"/>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10</w:t>
            </w:r>
          </w:p>
        </w:tc>
        <w:tc>
          <w:tcPr>
            <w:tcW w:w="110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FF0000"/>
                <w:sz w:val="20"/>
                <w:szCs w:val="20"/>
              </w:rPr>
            </w:pPr>
          </w:p>
        </w:tc>
      </w:tr>
      <w:tr>
        <w:tblPrEx>
          <w:tblLayout w:type="fixed"/>
          <w:tblCellMar>
            <w:top w:w="0" w:type="dxa"/>
            <w:left w:w="108" w:type="dxa"/>
            <w:bottom w:w="0" w:type="dxa"/>
            <w:right w:w="108" w:type="dxa"/>
          </w:tblCellMar>
        </w:tblPrEx>
        <w:trPr>
          <w:jc w:val="center"/>
        </w:trPr>
        <w:tc>
          <w:tcPr>
            <w:tcW w:w="7215" w:type="dxa"/>
            <w:gridSpan w:val="9"/>
            <w:tcBorders>
              <w:top w:val="single" w:color="auto" w:sz="4" w:space="0"/>
              <w:left w:val="single" w:color="auto" w:sz="4" w:space="0"/>
              <w:bottom w:val="single" w:color="auto" w:sz="4" w:space="0"/>
              <w:right w:val="single" w:color="000000"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总分</w:t>
            </w:r>
          </w:p>
        </w:tc>
        <w:tc>
          <w:tcPr>
            <w:tcW w:w="735" w:type="dxa"/>
            <w:gridSpan w:val="2"/>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100</w:t>
            </w:r>
          </w:p>
        </w:tc>
        <w:tc>
          <w:tcPr>
            <w:tcW w:w="720" w:type="dxa"/>
            <w:gridSpan w:val="2"/>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97</w:t>
            </w:r>
          </w:p>
        </w:tc>
        <w:tc>
          <w:tcPr>
            <w:tcW w:w="1104" w:type="dxa"/>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bl>
    <w:p>
      <w:pPr>
        <w:spacing w:before="167" w:line="225" w:lineRule="auto"/>
        <w:sectPr>
          <w:footerReference r:id="rId3" w:type="default"/>
          <w:pgSz w:w="11905" w:h="16840"/>
          <w:pgMar w:top="400" w:right="1435" w:bottom="1250" w:left="1436" w:header="0" w:footer="982" w:gutter="0"/>
          <w:pgBorders>
            <w:top w:val="none" w:sz="0" w:space="0"/>
            <w:left w:val="none" w:sz="0" w:space="0"/>
            <w:bottom w:val="none" w:sz="0" w:space="0"/>
            <w:right w:val="none" w:sz="0" w:space="0"/>
          </w:pgBorders>
          <w:pgNumType w:fmt="numberInDash"/>
          <w:cols w:space="720" w:num="1"/>
        </w:sectPr>
      </w:pPr>
      <w:r>
        <w:rPr>
          <w:rFonts w:ascii="微软雅黑" w:hAnsi="微软雅黑" w:eastAsia="微软雅黑" w:cs="微软雅黑"/>
          <w:spacing w:val="-7"/>
        </w:rPr>
        <w:t>填表人：</w:t>
      </w:r>
      <w:r>
        <w:rPr>
          <w:rFonts w:hint="eastAsia" w:ascii="微软雅黑" w:hAnsi="微软雅黑" w:eastAsia="微软雅黑" w:cs="微软雅黑"/>
          <w:spacing w:val="-7"/>
          <w:lang w:eastAsia="zh-CN"/>
        </w:rPr>
        <w:t>宋炀</w:t>
      </w:r>
      <w:r>
        <w:rPr>
          <w:rFonts w:ascii="微软雅黑" w:hAnsi="微软雅黑" w:eastAsia="微软雅黑" w:cs="微软雅黑"/>
          <w:spacing w:val="-7"/>
        </w:rPr>
        <w:t>  填报日期：</w:t>
      </w:r>
      <w:r>
        <w:rPr>
          <w:rFonts w:hint="eastAsia" w:ascii="微软雅黑" w:hAnsi="微软雅黑" w:eastAsia="微软雅黑" w:cs="微软雅黑"/>
          <w:spacing w:val="-7"/>
          <w:lang w:val="en-US" w:eastAsia="zh-CN"/>
        </w:rPr>
        <w:t>2024.03.28</w:t>
      </w:r>
      <w:r>
        <w:rPr>
          <w:rFonts w:ascii="微软雅黑" w:hAnsi="微软雅黑" w:eastAsia="微软雅黑" w:cs="微软雅黑"/>
          <w:spacing w:val="-7"/>
        </w:rPr>
        <w:t>    联系电话：</w:t>
      </w:r>
      <w:r>
        <w:rPr>
          <w:rFonts w:hint="eastAsia" w:ascii="微软雅黑" w:hAnsi="微软雅黑" w:eastAsia="微软雅黑" w:cs="微软雅黑"/>
          <w:spacing w:val="-7"/>
          <w:lang w:val="en-US" w:eastAsia="zh-CN"/>
        </w:rPr>
        <w:t>13507419009</w:t>
      </w:r>
      <w:r>
        <w:rPr>
          <w:rFonts w:ascii="微软雅黑" w:hAnsi="微软雅黑" w:eastAsia="微软雅黑" w:cs="微软雅黑"/>
          <w:spacing w:val="-7"/>
        </w:rPr>
        <w:t>  单位负责人签字</w:t>
      </w:r>
      <w:r>
        <w:rPr>
          <w:rFonts w:ascii="微软雅黑" w:hAnsi="微软雅黑" w:eastAsia="微软雅黑" w:cs="微软雅黑"/>
          <w:spacing w:val="-4"/>
        </w:rPr>
        <w:t>：</w:t>
      </w:r>
      <w:r>
        <w:rPr>
          <w:rFonts w:hint="eastAsia" w:ascii="Times New Roman" w:hAnsi="Times New Roman" w:eastAsia="仿宋_GB2312" w:cs="Times New Roman"/>
          <w:sz w:val="22"/>
          <w:lang w:eastAsia="zh-CN"/>
        </w:rPr>
        <w:t>颜珠容</w:t>
      </w:r>
    </w:p>
    <w:p>
      <w:pPr>
        <w:spacing w:line="262" w:lineRule="auto"/>
      </w:pPr>
    </w:p>
    <w:p>
      <w:pPr>
        <w:spacing w:before="104" w:line="425" w:lineRule="exact"/>
        <w:ind w:left="69"/>
        <w:rPr>
          <w:rFonts w:ascii="Times New Roman" w:hAnsi="Times New Roman" w:eastAsia="Times New Roman" w:cs="Times New Roman"/>
          <w:sz w:val="32"/>
          <w:szCs w:val="32"/>
        </w:rPr>
      </w:pPr>
      <w:r>
        <w:rPr>
          <w:rFonts w:ascii="黑体" w:hAnsi="黑体" w:eastAsia="黑体" w:cs="黑体"/>
          <w:spacing w:val="-25"/>
          <w:position w:val="1"/>
          <w:sz w:val="32"/>
          <w:szCs w:val="32"/>
        </w:rPr>
        <w:t>附</w:t>
      </w:r>
      <w:r>
        <w:rPr>
          <w:rFonts w:ascii="黑体" w:hAnsi="黑体" w:eastAsia="黑体" w:cs="黑体"/>
          <w:spacing w:val="-24"/>
          <w:position w:val="1"/>
          <w:sz w:val="32"/>
          <w:szCs w:val="32"/>
        </w:rPr>
        <w:t>件</w:t>
      </w:r>
      <w:r>
        <w:rPr>
          <w:rFonts w:ascii="Times New Roman" w:hAnsi="Times New Roman" w:eastAsia="Times New Roman" w:cs="Times New Roman"/>
          <w:spacing w:val="-24"/>
          <w:position w:val="1"/>
          <w:sz w:val="32"/>
          <w:szCs w:val="32"/>
        </w:rPr>
        <w:t>5</w:t>
      </w:r>
    </w:p>
    <w:p>
      <w:pPr>
        <w:spacing w:before="197" w:line="207" w:lineRule="auto"/>
        <w:ind w:left="271"/>
        <w:rPr>
          <w:rFonts w:ascii="微软雅黑" w:hAnsi="微软雅黑" w:eastAsia="微软雅黑" w:cs="微软雅黑"/>
          <w:spacing w:val="-25"/>
          <w:sz w:val="44"/>
          <w:szCs w:val="44"/>
        </w:rPr>
      </w:pPr>
      <w:r>
        <w:rPr>
          <w:rFonts w:ascii="微软雅黑" w:hAnsi="微软雅黑" w:eastAsia="微软雅黑" w:cs="微软雅黑"/>
          <w:spacing w:val="-37"/>
          <w:sz w:val="44"/>
          <w:szCs w:val="44"/>
        </w:rPr>
        <w:t>2</w:t>
      </w:r>
      <w:r>
        <w:rPr>
          <w:rFonts w:ascii="微软雅黑" w:hAnsi="微软雅黑" w:eastAsia="微软雅黑" w:cs="微软雅黑"/>
          <w:spacing w:val="-25"/>
          <w:sz w:val="44"/>
          <w:szCs w:val="44"/>
        </w:rPr>
        <w:t>02</w:t>
      </w:r>
      <w:r>
        <w:rPr>
          <w:rFonts w:hint="eastAsia" w:ascii="微软雅黑" w:hAnsi="微软雅黑" w:eastAsia="微软雅黑" w:cs="微软雅黑"/>
          <w:spacing w:val="-25"/>
          <w:sz w:val="44"/>
          <w:szCs w:val="44"/>
          <w:lang w:val="en-US" w:eastAsia="zh-CN"/>
        </w:rPr>
        <w:t>3</w:t>
      </w:r>
      <w:r>
        <w:rPr>
          <w:rFonts w:ascii="微软雅黑" w:hAnsi="微软雅黑" w:eastAsia="微软雅黑" w:cs="微软雅黑"/>
          <w:spacing w:val="-25"/>
          <w:sz w:val="44"/>
          <w:szCs w:val="44"/>
        </w:rPr>
        <w:t>年度项目支出绩效自评表(运行维护专项)</w:t>
      </w:r>
    </w:p>
    <w:tbl>
      <w:tblPr>
        <w:tblStyle w:val="11"/>
        <w:tblW w:w="9851" w:type="dxa"/>
        <w:jc w:val="center"/>
        <w:tblInd w:w="0" w:type="dxa"/>
        <w:tblLayout w:type="fixed"/>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Layout w:type="fixed"/>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项目支</w:t>
            </w:r>
          </w:p>
          <w:p>
            <w:pPr>
              <w:spacing w:line="26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出名称</w:t>
            </w:r>
          </w:p>
        </w:tc>
        <w:tc>
          <w:tcPr>
            <w:tcW w:w="8771" w:type="dxa"/>
            <w:gridSpan w:val="8"/>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hint="eastAsia" w:ascii="Times New Roman" w:hAnsi="Times New Roman" w:eastAsia="仿宋_GB2312" w:cs="Times New Roman"/>
                <w:b/>
                <w:bCs/>
                <w:sz w:val="20"/>
                <w:szCs w:val="20"/>
                <w:lang w:eastAsia="zh-CN"/>
              </w:rPr>
              <w:t>运行维护经费</w:t>
            </w:r>
            <w:r>
              <w:rPr>
                <w:rFonts w:ascii="Times New Roman" w:hAnsi="Times New Roman" w:eastAsia="仿宋_GB2312" w:cs="Times New Roman"/>
                <w:b/>
                <w:bCs/>
                <w:sz w:val="20"/>
                <w:szCs w:val="20"/>
              </w:rPr>
              <w:t>　</w:t>
            </w:r>
            <w:r>
              <w:rPr>
                <w:rFonts w:hint="eastAsia" w:ascii="Times New Roman" w:hAnsi="Times New Roman" w:eastAsia="仿宋_GB2312" w:cs="Times New Roman"/>
                <w:b/>
                <w:bCs/>
                <w:sz w:val="20"/>
                <w:szCs w:val="20"/>
                <w:lang w:eastAsia="zh-CN"/>
              </w:rPr>
              <w:t>（办公设备购置）</w:t>
            </w:r>
          </w:p>
        </w:tc>
      </w:tr>
      <w:tr>
        <w:tblPrEx>
          <w:tblLayout w:type="fixed"/>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主管部门</w:t>
            </w:r>
          </w:p>
        </w:tc>
        <w:tc>
          <w:tcPr>
            <w:tcW w:w="4518" w:type="dxa"/>
            <w:gridSpan w:val="4"/>
            <w:tcBorders>
              <w:top w:val="single" w:color="auto" w:sz="4" w:space="0"/>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lang w:eastAsia="zh-CN"/>
              </w:rPr>
              <w:t>湖南省市场监督管理局</w:t>
            </w:r>
          </w:p>
        </w:tc>
        <w:tc>
          <w:tcPr>
            <w:tcW w:w="1134" w:type="dxa"/>
            <w:tcBorders>
              <w:top w:val="single" w:color="auto" w:sz="4" w:space="0"/>
              <w:left w:val="nil"/>
              <w:bottom w:val="single" w:color="auto" w:sz="4" w:space="0"/>
              <w:right w:val="single" w:color="000000"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实施单位</w:t>
            </w:r>
          </w:p>
        </w:tc>
        <w:tc>
          <w:tcPr>
            <w:tcW w:w="3119" w:type="dxa"/>
            <w:gridSpan w:val="3"/>
            <w:tcBorders>
              <w:top w:val="single" w:color="auto" w:sz="4" w:space="0"/>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lang w:eastAsia="zh-CN"/>
              </w:rPr>
              <w:t>湖南省网络商品交易监测中心</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项目资金</w:t>
            </w:r>
            <w:r>
              <w:rPr>
                <w:rFonts w:ascii="Times New Roman" w:hAnsi="Times New Roman" w:eastAsia="仿宋_GB2312" w:cs="Times New Roman"/>
                <w:sz w:val="20"/>
                <w:szCs w:val="20"/>
              </w:rPr>
              <w:br w:type="textWrapping"/>
            </w:r>
            <w:r>
              <w:rPr>
                <w:rFonts w:ascii="Times New Roman" w:hAnsi="Times New Roman" w:eastAsia="仿宋_GB2312" w:cs="Times New Roman"/>
                <w:sz w:val="20"/>
                <w:szCs w:val="20"/>
              </w:rPr>
              <w:t>（万元）</w:t>
            </w:r>
          </w:p>
        </w:tc>
        <w:tc>
          <w:tcPr>
            <w:tcW w:w="2160" w:type="dxa"/>
            <w:gridSpan w:val="2"/>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122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年初</w:t>
            </w:r>
          </w:p>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预算数</w:t>
            </w:r>
          </w:p>
        </w:tc>
        <w:tc>
          <w:tcPr>
            <w:tcW w:w="113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全年</w:t>
            </w:r>
          </w:p>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预算数</w:t>
            </w:r>
          </w:p>
        </w:tc>
        <w:tc>
          <w:tcPr>
            <w:tcW w:w="113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全年</w:t>
            </w:r>
          </w:p>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执行数</w:t>
            </w:r>
          </w:p>
        </w:tc>
        <w:tc>
          <w:tcPr>
            <w:tcW w:w="828"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分值</w:t>
            </w:r>
          </w:p>
        </w:tc>
        <w:tc>
          <w:tcPr>
            <w:tcW w:w="873"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执行率</w:t>
            </w:r>
          </w:p>
        </w:tc>
        <w:tc>
          <w:tcPr>
            <w:tcW w:w="1418"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eastAsia="zh-CN"/>
              </w:rPr>
              <w:t>自评</w:t>
            </w:r>
            <w:r>
              <w:rPr>
                <w:rFonts w:ascii="Times New Roman" w:hAnsi="Times New Roman" w:eastAsia="仿宋_GB2312" w:cs="Times New Roman"/>
                <w:sz w:val="20"/>
                <w:szCs w:val="20"/>
              </w:rPr>
              <w:t>得分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pPr>
              <w:rPr>
                <w:rFonts w:ascii="Times New Roman" w:hAnsi="Times New Roman" w:eastAsia="仿宋_GB2312" w:cs="Times New Roman"/>
                <w:sz w:val="20"/>
                <w:szCs w:val="20"/>
              </w:rPr>
            </w:pPr>
          </w:p>
        </w:tc>
        <w:tc>
          <w:tcPr>
            <w:tcW w:w="2160" w:type="dxa"/>
            <w:gridSpan w:val="2"/>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年度资金总额　</w:t>
            </w:r>
          </w:p>
        </w:tc>
        <w:tc>
          <w:tcPr>
            <w:tcW w:w="1224" w:type="dxa"/>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10</w:t>
            </w:r>
          </w:p>
        </w:tc>
        <w:tc>
          <w:tcPr>
            <w:tcW w:w="1134" w:type="dxa"/>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10</w:t>
            </w:r>
          </w:p>
        </w:tc>
        <w:tc>
          <w:tcPr>
            <w:tcW w:w="1134" w:type="dxa"/>
            <w:tcBorders>
              <w:top w:val="nil"/>
              <w:left w:val="nil"/>
              <w:bottom w:val="single" w:color="auto" w:sz="4" w:space="0"/>
              <w:right w:val="single" w:color="auto" w:sz="4" w:space="0"/>
            </w:tcBorders>
            <w:vAlign w:val="center"/>
          </w:tcPr>
          <w:p>
            <w:pPr>
              <w:rPr>
                <w:rFonts w:hint="eastAsia" w:ascii="Times New Roman" w:hAnsi="Times New Roman" w:eastAsia="仿宋_GB2312" w:cs="Times New Roman"/>
                <w:sz w:val="20"/>
                <w:szCs w:val="20"/>
                <w:lang w:eastAsia="zh-CN"/>
              </w:rPr>
            </w:pPr>
            <w:r>
              <w:rPr>
                <w:rFonts w:hint="eastAsia" w:ascii="Times New Roman" w:hAnsi="Times New Roman" w:eastAsia="仿宋_GB2312" w:cs="Times New Roman"/>
                <w:sz w:val="20"/>
                <w:szCs w:val="20"/>
                <w:lang w:val="en-US" w:eastAsia="zh-CN"/>
              </w:rPr>
              <w:t>9.92</w:t>
            </w:r>
          </w:p>
        </w:tc>
        <w:tc>
          <w:tcPr>
            <w:tcW w:w="828" w:type="dxa"/>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10</w:t>
            </w:r>
          </w:p>
        </w:tc>
        <w:tc>
          <w:tcPr>
            <w:tcW w:w="873" w:type="dxa"/>
            <w:tcBorders>
              <w:top w:val="nil"/>
              <w:left w:val="nil"/>
              <w:bottom w:val="single" w:color="auto" w:sz="4" w:space="0"/>
              <w:right w:val="single" w:color="auto" w:sz="4" w:space="0"/>
            </w:tcBorders>
            <w:vAlign w:val="center"/>
          </w:tcPr>
          <w:p>
            <w:pPr>
              <w:rPr>
                <w:rFonts w:hint="eastAsia" w:ascii="Times New Roman" w:hAnsi="Times New Roman" w:eastAsia="仿宋_GB2312" w:cs="Times New Roman"/>
                <w:sz w:val="20"/>
                <w:szCs w:val="20"/>
                <w:lang w:eastAsia="zh-CN"/>
              </w:rPr>
            </w:pPr>
            <w:r>
              <w:rPr>
                <w:rFonts w:hint="eastAsia" w:ascii="Times New Roman" w:hAnsi="Times New Roman" w:eastAsia="仿宋_GB2312" w:cs="Times New Roman"/>
                <w:sz w:val="20"/>
                <w:szCs w:val="20"/>
                <w:lang w:val="en-US" w:eastAsia="zh-CN"/>
              </w:rPr>
              <w:t>99.2%</w:t>
            </w:r>
          </w:p>
        </w:tc>
        <w:tc>
          <w:tcPr>
            <w:tcW w:w="1418" w:type="dxa"/>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10</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pPr>
              <w:rPr>
                <w:rFonts w:ascii="Times New Roman" w:hAnsi="Times New Roman" w:eastAsia="仿宋_GB2312" w:cs="Times New Roman"/>
                <w:sz w:val="20"/>
                <w:szCs w:val="20"/>
              </w:rPr>
            </w:pPr>
          </w:p>
        </w:tc>
        <w:tc>
          <w:tcPr>
            <w:tcW w:w="2160" w:type="dxa"/>
            <w:gridSpan w:val="2"/>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其中：当年财政拨款　</w:t>
            </w:r>
          </w:p>
        </w:tc>
        <w:tc>
          <w:tcPr>
            <w:tcW w:w="1224" w:type="dxa"/>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10</w:t>
            </w:r>
          </w:p>
        </w:tc>
        <w:tc>
          <w:tcPr>
            <w:tcW w:w="1134" w:type="dxa"/>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10</w:t>
            </w:r>
          </w:p>
        </w:tc>
        <w:tc>
          <w:tcPr>
            <w:tcW w:w="1134" w:type="dxa"/>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9.92</w:t>
            </w:r>
          </w:p>
        </w:tc>
        <w:tc>
          <w:tcPr>
            <w:tcW w:w="828" w:type="dxa"/>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10</w:t>
            </w:r>
          </w:p>
        </w:tc>
        <w:tc>
          <w:tcPr>
            <w:tcW w:w="873" w:type="dxa"/>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99.2%</w:t>
            </w:r>
          </w:p>
        </w:tc>
        <w:tc>
          <w:tcPr>
            <w:tcW w:w="1418" w:type="dxa"/>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10</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pPr>
              <w:rPr>
                <w:rFonts w:ascii="Times New Roman" w:hAnsi="Times New Roman" w:eastAsia="仿宋_GB2312" w:cs="Times New Roman"/>
                <w:sz w:val="20"/>
                <w:szCs w:val="20"/>
              </w:rPr>
            </w:pPr>
          </w:p>
        </w:tc>
        <w:tc>
          <w:tcPr>
            <w:tcW w:w="2160" w:type="dxa"/>
            <w:gridSpan w:val="2"/>
            <w:tcBorders>
              <w:top w:val="nil"/>
              <w:left w:val="nil"/>
              <w:bottom w:val="single" w:color="auto" w:sz="4" w:space="0"/>
              <w:right w:val="single" w:color="auto" w:sz="4" w:space="0"/>
            </w:tcBorders>
            <w:vAlign w:val="center"/>
          </w:tcPr>
          <w:p>
            <w:pPr>
              <w:ind w:firstLine="600" w:firstLineChars="300"/>
              <w:rPr>
                <w:rFonts w:ascii="Times New Roman" w:hAnsi="Times New Roman" w:eastAsia="仿宋_GB2312" w:cs="Times New Roman"/>
                <w:sz w:val="20"/>
                <w:szCs w:val="20"/>
              </w:rPr>
            </w:pPr>
            <w:r>
              <w:rPr>
                <w:rFonts w:ascii="Times New Roman" w:hAnsi="Times New Roman" w:eastAsia="仿宋_GB2312" w:cs="Times New Roman"/>
                <w:sz w:val="20"/>
                <w:szCs w:val="20"/>
              </w:rPr>
              <w:t>上年结转资金　</w:t>
            </w:r>
          </w:p>
        </w:tc>
        <w:tc>
          <w:tcPr>
            <w:tcW w:w="1224" w:type="dxa"/>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0</w:t>
            </w:r>
          </w:p>
        </w:tc>
        <w:tc>
          <w:tcPr>
            <w:tcW w:w="1134" w:type="dxa"/>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0</w:t>
            </w:r>
          </w:p>
        </w:tc>
        <w:tc>
          <w:tcPr>
            <w:tcW w:w="1134" w:type="dxa"/>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0</w:t>
            </w:r>
          </w:p>
        </w:tc>
        <w:tc>
          <w:tcPr>
            <w:tcW w:w="828" w:type="dxa"/>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873" w:type="dxa"/>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1418" w:type="dxa"/>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pPr>
              <w:rPr>
                <w:rFonts w:ascii="Times New Roman" w:hAnsi="Times New Roman" w:eastAsia="仿宋_GB2312" w:cs="Times New Roman"/>
                <w:sz w:val="20"/>
                <w:szCs w:val="20"/>
              </w:rPr>
            </w:pPr>
          </w:p>
        </w:tc>
        <w:tc>
          <w:tcPr>
            <w:tcW w:w="2160" w:type="dxa"/>
            <w:gridSpan w:val="2"/>
            <w:tcBorders>
              <w:top w:val="nil"/>
              <w:left w:val="nil"/>
              <w:bottom w:val="single" w:color="auto" w:sz="4" w:space="0"/>
              <w:right w:val="single" w:color="auto" w:sz="4" w:space="0"/>
            </w:tcBorders>
            <w:vAlign w:val="center"/>
          </w:tcPr>
          <w:p>
            <w:pPr>
              <w:ind w:firstLine="600" w:firstLineChars="300"/>
              <w:rPr>
                <w:rFonts w:ascii="Times New Roman" w:hAnsi="Times New Roman" w:eastAsia="仿宋_GB2312" w:cs="Times New Roman"/>
                <w:sz w:val="20"/>
                <w:szCs w:val="20"/>
              </w:rPr>
            </w:pPr>
            <w:r>
              <w:rPr>
                <w:rFonts w:ascii="Times New Roman" w:hAnsi="Times New Roman" w:eastAsia="仿宋_GB2312" w:cs="Times New Roman"/>
                <w:sz w:val="20"/>
                <w:szCs w:val="20"/>
              </w:rPr>
              <w:t>其他资金</w:t>
            </w:r>
          </w:p>
        </w:tc>
        <w:tc>
          <w:tcPr>
            <w:tcW w:w="1224" w:type="dxa"/>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0</w:t>
            </w:r>
          </w:p>
        </w:tc>
        <w:tc>
          <w:tcPr>
            <w:tcW w:w="1134" w:type="dxa"/>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0</w:t>
            </w:r>
          </w:p>
        </w:tc>
        <w:tc>
          <w:tcPr>
            <w:tcW w:w="1134" w:type="dxa"/>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0</w:t>
            </w:r>
          </w:p>
        </w:tc>
        <w:tc>
          <w:tcPr>
            <w:tcW w:w="828" w:type="dxa"/>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873" w:type="dxa"/>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c>
          <w:tcPr>
            <w:tcW w:w="1418" w:type="dxa"/>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年度总体目标</w:t>
            </w:r>
          </w:p>
        </w:tc>
        <w:tc>
          <w:tcPr>
            <w:tcW w:w="4518" w:type="dxa"/>
            <w:gridSpan w:val="4"/>
            <w:tcBorders>
              <w:top w:val="single" w:color="auto" w:sz="4" w:space="0"/>
              <w:left w:val="nil"/>
              <w:bottom w:val="single" w:color="auto" w:sz="4" w:space="0"/>
              <w:right w:val="single" w:color="000000"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预期目标</w:t>
            </w:r>
          </w:p>
        </w:tc>
        <w:tc>
          <w:tcPr>
            <w:tcW w:w="4253" w:type="dxa"/>
            <w:gridSpan w:val="4"/>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实际完成情况　</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vAlign w:val="center"/>
          </w:tcPr>
          <w:p>
            <w:pPr>
              <w:rPr>
                <w:rFonts w:ascii="Times New Roman" w:hAnsi="Times New Roman" w:eastAsia="仿宋_GB2312" w:cs="Times New Roman"/>
                <w:sz w:val="20"/>
                <w:szCs w:val="20"/>
              </w:rPr>
            </w:pPr>
          </w:p>
        </w:tc>
        <w:tc>
          <w:tcPr>
            <w:tcW w:w="4518" w:type="dxa"/>
            <w:gridSpan w:val="4"/>
            <w:tcBorders>
              <w:top w:val="single" w:color="auto" w:sz="4" w:space="0"/>
              <w:left w:val="nil"/>
              <w:bottom w:val="single" w:color="auto" w:sz="4" w:space="0"/>
              <w:right w:val="single" w:color="000000" w:sz="4" w:space="0"/>
            </w:tcBorders>
            <w:vAlign w:val="center"/>
          </w:tcPr>
          <w:p>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10</w:t>
            </w:r>
            <w:r>
              <w:rPr>
                <w:rFonts w:ascii="Times New Roman" w:hAnsi="Times New Roman" w:eastAsia="仿宋_GB2312" w:cs="Times New Roman"/>
                <w:sz w:val="20"/>
                <w:szCs w:val="20"/>
              </w:rPr>
              <w:t>　　</w:t>
            </w:r>
          </w:p>
        </w:tc>
        <w:tc>
          <w:tcPr>
            <w:tcW w:w="4253" w:type="dxa"/>
            <w:gridSpan w:val="4"/>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9.92</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绩</w:t>
            </w:r>
          </w:p>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效</w:t>
            </w:r>
          </w:p>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指</w:t>
            </w:r>
          </w:p>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标</w:t>
            </w:r>
          </w:p>
        </w:tc>
        <w:tc>
          <w:tcPr>
            <w:tcW w:w="108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一级指标</w:t>
            </w:r>
          </w:p>
        </w:tc>
        <w:tc>
          <w:tcPr>
            <w:tcW w:w="108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二级指标</w:t>
            </w:r>
          </w:p>
        </w:tc>
        <w:tc>
          <w:tcPr>
            <w:tcW w:w="1224"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三级指标</w:t>
            </w:r>
          </w:p>
        </w:tc>
        <w:tc>
          <w:tcPr>
            <w:tcW w:w="1134"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年度</w:t>
            </w:r>
          </w:p>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指标值</w:t>
            </w:r>
          </w:p>
        </w:tc>
        <w:tc>
          <w:tcPr>
            <w:tcW w:w="1134"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实际</w:t>
            </w:r>
          </w:p>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完成值</w:t>
            </w:r>
          </w:p>
        </w:tc>
        <w:tc>
          <w:tcPr>
            <w:tcW w:w="828"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分值</w:t>
            </w:r>
          </w:p>
        </w:tc>
        <w:tc>
          <w:tcPr>
            <w:tcW w:w="873"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得分</w:t>
            </w:r>
          </w:p>
        </w:tc>
        <w:tc>
          <w:tcPr>
            <w:tcW w:w="1418" w:type="dxa"/>
            <w:tcBorders>
              <w:top w:val="nil"/>
              <w:left w:val="nil"/>
              <w:bottom w:val="single" w:color="auto" w:sz="4" w:space="0"/>
              <w:right w:val="single" w:color="auto" w:sz="4" w:space="0"/>
            </w:tcBorders>
            <w:vAlign w:val="center"/>
          </w:tcPr>
          <w:p>
            <w:pPr>
              <w:spacing w:line="240" w:lineRule="exact"/>
              <w:jc w:val="both"/>
              <w:rPr>
                <w:rFonts w:ascii="Times New Roman" w:hAnsi="Times New Roman" w:eastAsia="仿宋_GB2312" w:cs="Times New Roman"/>
                <w:sz w:val="20"/>
                <w:szCs w:val="20"/>
              </w:rPr>
            </w:pPr>
            <w:r>
              <w:rPr>
                <w:rFonts w:ascii="Times New Roman" w:hAnsi="Times New Roman" w:eastAsia="仿宋_GB2312" w:cs="Times New Roman"/>
                <w:sz w:val="20"/>
                <w:szCs w:val="20"/>
              </w:rPr>
              <w:t>偏差原因分析及改进措施</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rPr>
                <w:rFonts w:ascii="Times New Roman" w:hAnsi="Times New Roman" w:eastAsia="仿宋_GB2312" w:cs="Times New Roman"/>
                <w:sz w:val="20"/>
                <w:szCs w:val="20"/>
              </w:rPr>
            </w:pPr>
          </w:p>
        </w:tc>
        <w:tc>
          <w:tcPr>
            <w:tcW w:w="1080" w:type="dxa"/>
            <w:vMerge w:val="restart"/>
            <w:tcBorders>
              <w:top w:val="nil"/>
              <w:left w:val="nil"/>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产出指标</w:t>
            </w:r>
          </w:p>
          <w:p>
            <w:pPr>
              <w:jc w:val="center"/>
              <w:rPr>
                <w:rFonts w:ascii="Times New Roman" w:hAnsi="Times New Roman" w:eastAsia="仿宋_GB2312" w:cs="Times New Roman"/>
                <w:sz w:val="20"/>
                <w:szCs w:val="20"/>
              </w:rPr>
            </w:pPr>
          </w:p>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(50分)</w:t>
            </w:r>
          </w:p>
        </w:tc>
        <w:tc>
          <w:tcPr>
            <w:tcW w:w="1080" w:type="dxa"/>
            <w:vMerge w:val="restart"/>
            <w:tcBorders>
              <w:top w:val="nil"/>
              <w:left w:val="nil"/>
              <w:right w:val="single" w:color="auto" w:sz="4" w:space="0"/>
            </w:tcBorders>
            <w:vAlign w:val="center"/>
          </w:tcPr>
          <w:p>
            <w:pPr>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数量指标</w:t>
            </w:r>
          </w:p>
        </w:tc>
        <w:tc>
          <w:tcPr>
            <w:tcW w:w="1224" w:type="dxa"/>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eastAsia="zh-CN"/>
              </w:rPr>
            </w:pPr>
            <w:r>
              <w:rPr>
                <w:rFonts w:hint="eastAsia" w:ascii="Times New Roman" w:hAnsi="Times New Roman" w:eastAsia="仿宋_GB2312" w:cs="Times New Roman"/>
                <w:color w:val="auto"/>
                <w:sz w:val="20"/>
                <w:szCs w:val="20"/>
                <w:lang w:eastAsia="zh-CN"/>
              </w:rPr>
              <w:t>办公设备购置</w:t>
            </w:r>
          </w:p>
        </w:tc>
        <w:tc>
          <w:tcPr>
            <w:tcW w:w="113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仿宋" w:hAnsi="仿宋" w:eastAsia="仿宋" w:cs="仿宋"/>
                <w:color w:val="auto"/>
                <w:kern w:val="0"/>
                <w:sz w:val="18"/>
                <w:szCs w:val="18"/>
              </w:rPr>
              <w:t>≥</w:t>
            </w:r>
            <w:r>
              <w:rPr>
                <w:rFonts w:hint="eastAsia" w:ascii="仿宋" w:hAnsi="仿宋" w:eastAsia="仿宋" w:cs="仿宋"/>
                <w:color w:val="auto"/>
                <w:kern w:val="0"/>
                <w:sz w:val="18"/>
                <w:szCs w:val="18"/>
                <w:lang w:val="en-US" w:eastAsia="zh-CN"/>
              </w:rPr>
              <w:t>8台/套</w:t>
            </w:r>
          </w:p>
        </w:tc>
        <w:tc>
          <w:tcPr>
            <w:tcW w:w="113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仿宋" w:hAnsi="仿宋" w:eastAsia="仿宋" w:cs="仿宋"/>
                <w:color w:val="auto"/>
                <w:kern w:val="0"/>
                <w:sz w:val="18"/>
                <w:szCs w:val="18"/>
                <w:lang w:val="en-US" w:eastAsia="zh-CN"/>
              </w:rPr>
              <w:t>14台/套</w:t>
            </w:r>
          </w:p>
        </w:tc>
        <w:tc>
          <w:tcPr>
            <w:tcW w:w="828" w:type="dxa"/>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eastAsia="zh-CN"/>
              </w:rPr>
            </w:pPr>
            <w:r>
              <w:rPr>
                <w:rFonts w:hint="eastAsia" w:ascii="Times New Roman" w:hAnsi="Times New Roman" w:eastAsia="仿宋_GB2312" w:cs="Times New Roman"/>
                <w:color w:val="auto"/>
                <w:sz w:val="20"/>
                <w:szCs w:val="20"/>
                <w:lang w:val="en-US" w:eastAsia="zh-CN"/>
              </w:rPr>
              <w:t>15</w:t>
            </w:r>
          </w:p>
        </w:tc>
        <w:tc>
          <w:tcPr>
            <w:tcW w:w="873"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15</w:t>
            </w:r>
          </w:p>
        </w:tc>
        <w:tc>
          <w:tcPr>
            <w:tcW w:w="1418" w:type="dxa"/>
            <w:tcBorders>
              <w:top w:val="nil"/>
              <w:left w:val="nil"/>
              <w:bottom w:val="single" w:color="auto" w:sz="4" w:space="0"/>
              <w:right w:val="single" w:color="auto" w:sz="4" w:space="0"/>
            </w:tcBorders>
            <w:vAlign w:val="center"/>
          </w:tcPr>
          <w:p>
            <w:pPr>
              <w:jc w:val="both"/>
              <w:rPr>
                <w:rFonts w:hint="eastAsia" w:ascii="Times New Roman" w:hAnsi="Times New Roman" w:eastAsia="仿宋_GB2312" w:cs="Times New Roman"/>
                <w:color w:val="auto"/>
                <w:sz w:val="15"/>
                <w:szCs w:val="15"/>
                <w:lang w:val="en-US" w:eastAsia="zh-CN"/>
              </w:rPr>
            </w:pPr>
            <w:r>
              <w:rPr>
                <w:rFonts w:hint="eastAsia" w:ascii="Times New Roman" w:hAnsi="Times New Roman" w:eastAsia="仿宋_GB2312" w:cs="Times New Roman"/>
                <w:color w:val="auto"/>
                <w:sz w:val="15"/>
                <w:szCs w:val="15"/>
                <w:lang w:val="en-US" w:eastAsia="zh-CN"/>
              </w:rPr>
              <w:t>因设备价格预算偏差，中心设备陈旧业务工作需要增加购置笔记本电脑6台。往后加强预算资金细化，加强预算事前调研论证等</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rPr>
                <w:rFonts w:ascii="Times New Roman" w:hAnsi="Times New Roman" w:eastAsia="仿宋_GB2312" w:cs="Times New Roman"/>
                <w:sz w:val="20"/>
                <w:szCs w:val="20"/>
              </w:rPr>
            </w:pPr>
          </w:p>
        </w:tc>
        <w:tc>
          <w:tcPr>
            <w:tcW w:w="1080" w:type="dxa"/>
            <w:vMerge w:val="continue"/>
            <w:tcBorders>
              <w:left w:val="nil"/>
              <w:right w:val="single" w:color="auto" w:sz="4" w:space="0"/>
            </w:tcBorders>
            <w:vAlign w:val="center"/>
          </w:tcPr>
          <w:p>
            <w:pPr>
              <w:rPr>
                <w:rFonts w:ascii="Times New Roman" w:hAnsi="Times New Roman" w:eastAsia="仿宋_GB2312" w:cs="Times New Roman"/>
                <w:sz w:val="20"/>
                <w:szCs w:val="20"/>
              </w:rPr>
            </w:pPr>
          </w:p>
        </w:tc>
        <w:tc>
          <w:tcPr>
            <w:tcW w:w="1080" w:type="dxa"/>
            <w:vMerge w:val="continue"/>
            <w:tcBorders>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c>
          <w:tcPr>
            <w:tcW w:w="122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w:t>
            </w:r>
          </w:p>
        </w:tc>
        <w:tc>
          <w:tcPr>
            <w:tcW w:w="113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c>
          <w:tcPr>
            <w:tcW w:w="113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c>
          <w:tcPr>
            <w:tcW w:w="828"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c>
          <w:tcPr>
            <w:tcW w:w="873"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c>
          <w:tcPr>
            <w:tcW w:w="1418"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rPr>
                <w:rFonts w:ascii="Times New Roman" w:hAnsi="Times New Roman" w:eastAsia="仿宋_GB2312" w:cs="Times New Roman"/>
                <w:sz w:val="20"/>
                <w:szCs w:val="20"/>
              </w:rPr>
            </w:pPr>
          </w:p>
        </w:tc>
        <w:tc>
          <w:tcPr>
            <w:tcW w:w="1080" w:type="dxa"/>
            <w:vMerge w:val="continue"/>
            <w:tcBorders>
              <w:left w:val="nil"/>
              <w:right w:val="single" w:color="auto" w:sz="4" w:space="0"/>
            </w:tcBorders>
            <w:vAlign w:val="center"/>
          </w:tcPr>
          <w:p>
            <w:pPr>
              <w:rPr>
                <w:rFonts w:ascii="Times New Roman" w:hAnsi="Times New Roman" w:eastAsia="仿宋_GB2312" w:cs="Times New Roman"/>
                <w:sz w:val="20"/>
                <w:szCs w:val="20"/>
              </w:rPr>
            </w:pPr>
          </w:p>
        </w:tc>
        <w:tc>
          <w:tcPr>
            <w:tcW w:w="1080" w:type="dxa"/>
            <w:vMerge w:val="restart"/>
            <w:tcBorders>
              <w:top w:val="nil"/>
              <w:left w:val="nil"/>
              <w:right w:val="single" w:color="auto" w:sz="4" w:space="0"/>
            </w:tcBorders>
            <w:vAlign w:val="center"/>
          </w:tcPr>
          <w:p>
            <w:pPr>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质量指标</w:t>
            </w:r>
          </w:p>
        </w:tc>
        <w:tc>
          <w:tcPr>
            <w:tcW w:w="122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eastAsia="zh-CN"/>
              </w:rPr>
              <w:t>办公设备购置验收合格率</w:t>
            </w:r>
          </w:p>
        </w:tc>
        <w:tc>
          <w:tcPr>
            <w:tcW w:w="113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100%</w:t>
            </w:r>
          </w:p>
        </w:tc>
        <w:tc>
          <w:tcPr>
            <w:tcW w:w="113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100%</w:t>
            </w:r>
          </w:p>
        </w:tc>
        <w:tc>
          <w:tcPr>
            <w:tcW w:w="828" w:type="dxa"/>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10</w:t>
            </w:r>
          </w:p>
        </w:tc>
        <w:tc>
          <w:tcPr>
            <w:tcW w:w="873"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10</w:t>
            </w:r>
          </w:p>
        </w:tc>
        <w:tc>
          <w:tcPr>
            <w:tcW w:w="1418"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rPr>
                <w:rFonts w:ascii="Times New Roman" w:hAnsi="Times New Roman" w:eastAsia="仿宋_GB2312" w:cs="Times New Roman"/>
                <w:sz w:val="20"/>
                <w:szCs w:val="20"/>
              </w:rPr>
            </w:pPr>
          </w:p>
        </w:tc>
        <w:tc>
          <w:tcPr>
            <w:tcW w:w="1080" w:type="dxa"/>
            <w:vMerge w:val="continue"/>
            <w:tcBorders>
              <w:left w:val="nil"/>
              <w:right w:val="single" w:color="auto" w:sz="4" w:space="0"/>
            </w:tcBorders>
            <w:vAlign w:val="center"/>
          </w:tcPr>
          <w:p>
            <w:pPr>
              <w:rPr>
                <w:rFonts w:ascii="Times New Roman" w:hAnsi="Times New Roman" w:eastAsia="仿宋_GB2312" w:cs="Times New Roman"/>
                <w:sz w:val="20"/>
                <w:szCs w:val="20"/>
              </w:rPr>
            </w:pPr>
          </w:p>
        </w:tc>
        <w:tc>
          <w:tcPr>
            <w:tcW w:w="1080" w:type="dxa"/>
            <w:vMerge w:val="continue"/>
            <w:tcBorders>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c>
          <w:tcPr>
            <w:tcW w:w="122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w:t>
            </w:r>
          </w:p>
        </w:tc>
        <w:tc>
          <w:tcPr>
            <w:tcW w:w="113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c>
          <w:tcPr>
            <w:tcW w:w="113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c>
          <w:tcPr>
            <w:tcW w:w="828"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c>
          <w:tcPr>
            <w:tcW w:w="873"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c>
          <w:tcPr>
            <w:tcW w:w="1418"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rPr>
                <w:rFonts w:ascii="Times New Roman" w:hAnsi="Times New Roman" w:eastAsia="仿宋_GB2312" w:cs="Times New Roman"/>
                <w:sz w:val="20"/>
                <w:szCs w:val="20"/>
              </w:rPr>
            </w:pPr>
          </w:p>
        </w:tc>
        <w:tc>
          <w:tcPr>
            <w:tcW w:w="1080" w:type="dxa"/>
            <w:vMerge w:val="continue"/>
            <w:tcBorders>
              <w:left w:val="nil"/>
              <w:right w:val="single" w:color="auto" w:sz="4" w:space="0"/>
            </w:tcBorders>
            <w:vAlign w:val="center"/>
          </w:tcPr>
          <w:p>
            <w:pPr>
              <w:rPr>
                <w:rFonts w:ascii="Times New Roman" w:hAnsi="Times New Roman" w:eastAsia="仿宋_GB2312" w:cs="Times New Roman"/>
                <w:sz w:val="20"/>
                <w:szCs w:val="20"/>
              </w:rPr>
            </w:pPr>
          </w:p>
        </w:tc>
        <w:tc>
          <w:tcPr>
            <w:tcW w:w="1080" w:type="dxa"/>
            <w:vMerge w:val="restart"/>
            <w:tcBorders>
              <w:top w:val="nil"/>
              <w:left w:val="nil"/>
              <w:right w:val="single" w:color="auto" w:sz="4" w:space="0"/>
            </w:tcBorders>
            <w:vAlign w:val="center"/>
          </w:tcPr>
          <w:p>
            <w:pPr>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时效指标</w:t>
            </w:r>
          </w:p>
        </w:tc>
        <w:tc>
          <w:tcPr>
            <w:tcW w:w="122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auto"/>
                <w:sz w:val="20"/>
                <w:szCs w:val="20"/>
              </w:rPr>
            </w:pPr>
            <w:r>
              <w:rPr>
                <w:rFonts w:hint="eastAsia" w:ascii="仿宋" w:hAnsi="仿宋" w:eastAsia="仿宋" w:cs="仿宋"/>
                <w:color w:val="auto"/>
                <w:kern w:val="0"/>
                <w:sz w:val="18"/>
                <w:szCs w:val="18"/>
                <w:lang w:eastAsia="zh-CN"/>
              </w:rPr>
              <w:t>购置保障日常监管设备</w:t>
            </w:r>
            <w:r>
              <w:rPr>
                <w:rFonts w:hint="eastAsia" w:ascii="仿宋" w:hAnsi="仿宋" w:eastAsia="仿宋" w:cs="仿宋"/>
                <w:color w:val="auto"/>
                <w:kern w:val="0"/>
                <w:sz w:val="18"/>
                <w:szCs w:val="18"/>
              </w:rPr>
              <w:t>完成时间</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auto"/>
                <w:sz w:val="20"/>
                <w:szCs w:val="20"/>
              </w:rPr>
            </w:pPr>
            <w:r>
              <w:rPr>
                <w:rFonts w:hint="eastAsia" w:ascii="仿宋" w:hAnsi="仿宋" w:eastAsia="仿宋" w:cs="仿宋"/>
                <w:color w:val="auto"/>
                <w:kern w:val="0"/>
                <w:sz w:val="18"/>
                <w:szCs w:val="18"/>
              </w:rPr>
              <w:t>202</w:t>
            </w:r>
            <w:r>
              <w:rPr>
                <w:rFonts w:hint="eastAsia" w:ascii="仿宋" w:hAnsi="仿宋" w:eastAsia="仿宋" w:cs="仿宋"/>
                <w:color w:val="auto"/>
                <w:kern w:val="0"/>
                <w:sz w:val="18"/>
                <w:szCs w:val="18"/>
                <w:lang w:val="en-US" w:eastAsia="zh-CN"/>
              </w:rPr>
              <w:t>3</w:t>
            </w:r>
            <w:r>
              <w:rPr>
                <w:rFonts w:hint="eastAsia" w:ascii="仿宋" w:hAnsi="仿宋" w:eastAsia="仿宋" w:cs="仿宋"/>
                <w:color w:val="auto"/>
                <w:kern w:val="0"/>
                <w:sz w:val="18"/>
                <w:szCs w:val="18"/>
              </w:rPr>
              <w:t>年12月31日前</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auto"/>
                <w:sz w:val="20"/>
                <w:szCs w:val="20"/>
              </w:rPr>
            </w:pPr>
            <w:r>
              <w:rPr>
                <w:rFonts w:hint="eastAsia" w:ascii="仿宋" w:hAnsi="仿宋" w:eastAsia="仿宋" w:cs="仿宋"/>
                <w:color w:val="auto"/>
                <w:kern w:val="0"/>
                <w:sz w:val="18"/>
                <w:szCs w:val="18"/>
              </w:rPr>
              <w:t>202</w:t>
            </w:r>
            <w:r>
              <w:rPr>
                <w:rFonts w:hint="eastAsia" w:ascii="仿宋" w:hAnsi="仿宋" w:eastAsia="仿宋" w:cs="仿宋"/>
                <w:color w:val="auto"/>
                <w:kern w:val="0"/>
                <w:sz w:val="18"/>
                <w:szCs w:val="18"/>
                <w:lang w:val="en-US" w:eastAsia="zh-CN"/>
              </w:rPr>
              <w:t>3</w:t>
            </w:r>
            <w:r>
              <w:rPr>
                <w:rFonts w:hint="eastAsia" w:ascii="仿宋" w:hAnsi="仿宋" w:eastAsia="仿宋" w:cs="仿宋"/>
                <w:color w:val="auto"/>
                <w:kern w:val="0"/>
                <w:sz w:val="18"/>
                <w:szCs w:val="18"/>
              </w:rPr>
              <w:t>年12月31日前</w:t>
            </w:r>
          </w:p>
        </w:tc>
        <w:tc>
          <w:tcPr>
            <w:tcW w:w="82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auto"/>
                <w:sz w:val="20"/>
                <w:szCs w:val="20"/>
              </w:rPr>
            </w:pPr>
            <w:r>
              <w:rPr>
                <w:rFonts w:hint="eastAsia" w:ascii="仿宋" w:hAnsi="仿宋" w:eastAsia="仿宋" w:cs="仿宋"/>
                <w:color w:val="auto"/>
                <w:kern w:val="0"/>
                <w:sz w:val="18"/>
                <w:szCs w:val="18"/>
                <w:lang w:val="en-US" w:eastAsia="zh-CN"/>
              </w:rPr>
              <w:t>10</w:t>
            </w:r>
          </w:p>
        </w:tc>
        <w:tc>
          <w:tcPr>
            <w:tcW w:w="87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auto"/>
                <w:sz w:val="20"/>
                <w:szCs w:val="20"/>
              </w:rPr>
            </w:pPr>
            <w:r>
              <w:rPr>
                <w:rFonts w:hint="eastAsia" w:ascii="仿宋" w:hAnsi="仿宋" w:eastAsia="仿宋" w:cs="仿宋"/>
                <w:color w:val="auto"/>
                <w:kern w:val="0"/>
                <w:sz w:val="18"/>
                <w:szCs w:val="18"/>
                <w:lang w:val="en-US" w:eastAsia="zh-CN"/>
              </w:rPr>
              <w:t>10</w:t>
            </w:r>
          </w:p>
        </w:tc>
        <w:tc>
          <w:tcPr>
            <w:tcW w:w="141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s="Times New Roman"/>
                <w:color w:val="auto"/>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rPr>
                <w:rFonts w:ascii="Times New Roman" w:hAnsi="Times New Roman" w:eastAsia="仿宋_GB2312" w:cs="Times New Roman"/>
                <w:sz w:val="20"/>
                <w:szCs w:val="20"/>
              </w:rPr>
            </w:pPr>
          </w:p>
        </w:tc>
        <w:tc>
          <w:tcPr>
            <w:tcW w:w="1080" w:type="dxa"/>
            <w:vMerge w:val="continue"/>
            <w:tcBorders>
              <w:left w:val="nil"/>
              <w:right w:val="single" w:color="auto" w:sz="4" w:space="0"/>
            </w:tcBorders>
            <w:vAlign w:val="center"/>
          </w:tcPr>
          <w:p>
            <w:pPr>
              <w:rPr>
                <w:rFonts w:ascii="Times New Roman" w:hAnsi="Times New Roman" w:eastAsia="仿宋_GB2312" w:cs="Times New Roman"/>
                <w:sz w:val="20"/>
                <w:szCs w:val="20"/>
              </w:rPr>
            </w:pPr>
          </w:p>
        </w:tc>
        <w:tc>
          <w:tcPr>
            <w:tcW w:w="1080" w:type="dxa"/>
            <w:vMerge w:val="continue"/>
            <w:tcBorders>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c>
          <w:tcPr>
            <w:tcW w:w="122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w:t>
            </w:r>
          </w:p>
        </w:tc>
        <w:tc>
          <w:tcPr>
            <w:tcW w:w="113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c>
          <w:tcPr>
            <w:tcW w:w="113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c>
          <w:tcPr>
            <w:tcW w:w="828"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c>
          <w:tcPr>
            <w:tcW w:w="873"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c>
          <w:tcPr>
            <w:tcW w:w="1418"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rPr>
                <w:rFonts w:ascii="Times New Roman" w:hAnsi="Times New Roman" w:eastAsia="仿宋_GB2312" w:cs="Times New Roman"/>
                <w:sz w:val="20"/>
                <w:szCs w:val="20"/>
              </w:rPr>
            </w:pPr>
          </w:p>
        </w:tc>
        <w:tc>
          <w:tcPr>
            <w:tcW w:w="1080" w:type="dxa"/>
            <w:vMerge w:val="continue"/>
            <w:tcBorders>
              <w:left w:val="nil"/>
              <w:right w:val="single" w:color="auto" w:sz="4" w:space="0"/>
            </w:tcBorders>
            <w:vAlign w:val="center"/>
          </w:tcPr>
          <w:p>
            <w:pPr>
              <w:rPr>
                <w:rFonts w:ascii="Times New Roman" w:hAnsi="Times New Roman" w:eastAsia="仿宋_GB2312" w:cs="Times New Roman"/>
                <w:sz w:val="20"/>
                <w:szCs w:val="20"/>
              </w:rPr>
            </w:pPr>
          </w:p>
        </w:tc>
        <w:tc>
          <w:tcPr>
            <w:tcW w:w="1080" w:type="dxa"/>
            <w:vMerge w:val="restart"/>
            <w:tcBorders>
              <w:top w:val="nil"/>
              <w:left w:val="nil"/>
              <w:right w:val="single" w:color="auto" w:sz="4" w:space="0"/>
            </w:tcBorders>
            <w:vAlign w:val="center"/>
          </w:tcPr>
          <w:p>
            <w:pPr>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成本指标</w:t>
            </w:r>
          </w:p>
        </w:tc>
        <w:tc>
          <w:tcPr>
            <w:tcW w:w="122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eastAsia="zh-CN"/>
              </w:rPr>
              <w:t>购置办公设备成本</w:t>
            </w:r>
          </w:p>
        </w:tc>
        <w:tc>
          <w:tcPr>
            <w:tcW w:w="113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仿宋" w:hAnsi="仿宋" w:eastAsia="仿宋" w:cs="仿宋"/>
                <w:color w:val="auto"/>
                <w:kern w:val="0"/>
                <w:sz w:val="18"/>
                <w:szCs w:val="18"/>
                <w:lang w:val="en-US" w:eastAsia="zh-CN"/>
              </w:rPr>
              <w:t>≤10万元</w:t>
            </w:r>
          </w:p>
        </w:tc>
        <w:tc>
          <w:tcPr>
            <w:tcW w:w="113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仿宋" w:hAnsi="仿宋" w:eastAsia="仿宋" w:cs="仿宋"/>
                <w:color w:val="auto"/>
                <w:kern w:val="0"/>
                <w:sz w:val="18"/>
                <w:szCs w:val="18"/>
                <w:lang w:val="en-US" w:eastAsia="zh-CN"/>
              </w:rPr>
              <w:t>9.92万元</w:t>
            </w:r>
          </w:p>
        </w:tc>
        <w:tc>
          <w:tcPr>
            <w:tcW w:w="828"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10</w:t>
            </w:r>
          </w:p>
        </w:tc>
        <w:tc>
          <w:tcPr>
            <w:tcW w:w="873" w:type="dxa"/>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10</w:t>
            </w:r>
          </w:p>
        </w:tc>
        <w:tc>
          <w:tcPr>
            <w:tcW w:w="1418"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rPr>
                <w:rFonts w:ascii="Times New Roman" w:hAnsi="Times New Roman" w:eastAsia="仿宋_GB2312" w:cs="Times New Roman"/>
                <w:sz w:val="20"/>
                <w:szCs w:val="20"/>
              </w:rPr>
            </w:pPr>
          </w:p>
        </w:tc>
        <w:tc>
          <w:tcPr>
            <w:tcW w:w="1080" w:type="dxa"/>
            <w:vMerge w:val="continue"/>
            <w:tcBorders>
              <w:left w:val="nil"/>
              <w:bottom w:val="single" w:color="auto" w:sz="4" w:space="0"/>
              <w:right w:val="single" w:color="auto" w:sz="4" w:space="0"/>
            </w:tcBorders>
            <w:vAlign w:val="center"/>
          </w:tcPr>
          <w:p>
            <w:pPr>
              <w:rPr>
                <w:rFonts w:ascii="Times New Roman" w:hAnsi="Times New Roman" w:eastAsia="仿宋_GB2312" w:cs="Times New Roman"/>
                <w:sz w:val="20"/>
                <w:szCs w:val="20"/>
              </w:rPr>
            </w:pPr>
          </w:p>
        </w:tc>
        <w:tc>
          <w:tcPr>
            <w:tcW w:w="1080" w:type="dxa"/>
            <w:vMerge w:val="continue"/>
            <w:tcBorders>
              <w:left w:val="nil"/>
              <w:bottom w:val="single" w:color="auto" w:sz="4" w:space="0"/>
              <w:right w:val="single" w:color="auto" w:sz="4" w:space="0"/>
            </w:tcBorders>
            <w:vAlign w:val="center"/>
          </w:tcPr>
          <w:p>
            <w:pPr>
              <w:rPr>
                <w:rFonts w:ascii="Times New Roman" w:hAnsi="Times New Roman" w:eastAsia="仿宋_GB2312" w:cs="Times New Roman"/>
                <w:color w:val="auto"/>
                <w:sz w:val="20"/>
                <w:szCs w:val="20"/>
              </w:rPr>
            </w:pPr>
          </w:p>
        </w:tc>
        <w:tc>
          <w:tcPr>
            <w:tcW w:w="122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w:t>
            </w:r>
          </w:p>
        </w:tc>
        <w:tc>
          <w:tcPr>
            <w:tcW w:w="113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c>
          <w:tcPr>
            <w:tcW w:w="113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c>
          <w:tcPr>
            <w:tcW w:w="828"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c>
          <w:tcPr>
            <w:tcW w:w="873"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c>
          <w:tcPr>
            <w:tcW w:w="1418"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r>
      <w:tr>
        <w:tblPrEx>
          <w:tblLayout w:type="fixed"/>
          <w:tblCellMar>
            <w:top w:w="0" w:type="dxa"/>
            <w:left w:w="108" w:type="dxa"/>
            <w:bottom w:w="0" w:type="dxa"/>
            <w:right w:w="108" w:type="dxa"/>
          </w:tblCellMar>
        </w:tblPrEx>
        <w:trPr>
          <w:trHeight w:val="683" w:hRule="atLeast"/>
          <w:jc w:val="center"/>
        </w:trPr>
        <w:tc>
          <w:tcPr>
            <w:tcW w:w="1080" w:type="dxa"/>
            <w:vMerge w:val="continue"/>
            <w:tcBorders>
              <w:left w:val="single" w:color="auto" w:sz="4" w:space="0"/>
              <w:right w:val="single" w:color="auto" w:sz="4" w:space="0"/>
            </w:tcBorders>
            <w:vAlign w:val="center"/>
          </w:tcPr>
          <w:p>
            <w:pPr>
              <w:rPr>
                <w:rFonts w:ascii="Times New Roman" w:hAnsi="Times New Roman" w:eastAsia="仿宋_GB2312" w:cs="Times New Roman"/>
                <w:sz w:val="20"/>
                <w:szCs w:val="20"/>
              </w:rPr>
            </w:pPr>
          </w:p>
        </w:tc>
        <w:tc>
          <w:tcPr>
            <w:tcW w:w="1080" w:type="dxa"/>
            <w:vMerge w:val="continue"/>
            <w:tcBorders>
              <w:left w:val="nil"/>
              <w:right w:val="single" w:color="auto" w:sz="4" w:space="0"/>
            </w:tcBorders>
            <w:vAlign w:val="center"/>
          </w:tcPr>
          <w:p>
            <w:pPr>
              <w:rPr>
                <w:rFonts w:ascii="Times New Roman" w:hAnsi="Times New Roman" w:eastAsia="仿宋_GB2312" w:cs="Times New Roman"/>
                <w:sz w:val="20"/>
                <w:szCs w:val="20"/>
              </w:rPr>
            </w:pPr>
          </w:p>
        </w:tc>
        <w:tc>
          <w:tcPr>
            <w:tcW w:w="1080" w:type="dxa"/>
            <w:vMerge w:val="restart"/>
            <w:tcBorders>
              <w:top w:val="nil"/>
              <w:left w:val="nil"/>
              <w:right w:val="single" w:color="auto" w:sz="4" w:space="0"/>
            </w:tcBorders>
            <w:vAlign w:val="center"/>
          </w:tcPr>
          <w:p>
            <w:pPr>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社会效</w:t>
            </w:r>
          </w:p>
          <w:p>
            <w:pPr>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益指标</w:t>
            </w:r>
          </w:p>
        </w:tc>
        <w:tc>
          <w:tcPr>
            <w:tcW w:w="122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rPr>
              <w:t>有效提高监测效率和能力</w:t>
            </w:r>
          </w:p>
        </w:tc>
        <w:tc>
          <w:tcPr>
            <w:tcW w:w="113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eastAsia="zh-CN"/>
              </w:rPr>
              <w:t>持续提高</w:t>
            </w:r>
          </w:p>
        </w:tc>
        <w:tc>
          <w:tcPr>
            <w:tcW w:w="113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eastAsia="zh-CN"/>
              </w:rPr>
              <w:t>持续提高</w:t>
            </w:r>
          </w:p>
        </w:tc>
        <w:tc>
          <w:tcPr>
            <w:tcW w:w="828"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15</w:t>
            </w:r>
          </w:p>
        </w:tc>
        <w:tc>
          <w:tcPr>
            <w:tcW w:w="873"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15</w:t>
            </w:r>
          </w:p>
        </w:tc>
        <w:tc>
          <w:tcPr>
            <w:tcW w:w="1418"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rPr>
                <w:rFonts w:ascii="Times New Roman" w:hAnsi="Times New Roman" w:eastAsia="仿宋_GB2312" w:cs="Times New Roman"/>
                <w:sz w:val="20"/>
                <w:szCs w:val="20"/>
              </w:rPr>
            </w:pPr>
          </w:p>
        </w:tc>
        <w:tc>
          <w:tcPr>
            <w:tcW w:w="1080" w:type="dxa"/>
            <w:vMerge w:val="continue"/>
            <w:tcBorders>
              <w:left w:val="nil"/>
              <w:right w:val="single" w:color="auto" w:sz="4" w:space="0"/>
            </w:tcBorders>
            <w:vAlign w:val="center"/>
          </w:tcPr>
          <w:p>
            <w:pPr>
              <w:rPr>
                <w:rFonts w:ascii="Times New Roman" w:hAnsi="Times New Roman" w:eastAsia="仿宋_GB2312" w:cs="Times New Roman"/>
                <w:sz w:val="20"/>
                <w:szCs w:val="20"/>
              </w:rPr>
            </w:pPr>
          </w:p>
        </w:tc>
        <w:tc>
          <w:tcPr>
            <w:tcW w:w="1080" w:type="dxa"/>
            <w:vMerge w:val="continue"/>
            <w:tcBorders>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c>
          <w:tcPr>
            <w:tcW w:w="122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w:t>
            </w:r>
          </w:p>
        </w:tc>
        <w:tc>
          <w:tcPr>
            <w:tcW w:w="113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c>
          <w:tcPr>
            <w:tcW w:w="113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c>
          <w:tcPr>
            <w:tcW w:w="828"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c>
          <w:tcPr>
            <w:tcW w:w="873"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c>
          <w:tcPr>
            <w:tcW w:w="1418"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jc w:val="center"/>
              <w:rPr>
                <w:rFonts w:ascii="Times New Roman" w:hAnsi="Times New Roman" w:eastAsia="仿宋_GB2312" w:cs="Times New Roman"/>
                <w:sz w:val="20"/>
                <w:szCs w:val="20"/>
              </w:rPr>
            </w:pPr>
          </w:p>
        </w:tc>
        <w:tc>
          <w:tcPr>
            <w:tcW w:w="1080" w:type="dxa"/>
            <w:vMerge w:val="continue"/>
            <w:tcBorders>
              <w:left w:val="nil"/>
              <w:right w:val="single" w:color="auto" w:sz="4" w:space="0"/>
            </w:tcBorders>
            <w:vAlign w:val="center"/>
          </w:tcPr>
          <w:p>
            <w:pPr>
              <w:rPr>
                <w:rFonts w:ascii="Times New Roman" w:hAnsi="Times New Roman" w:eastAsia="仿宋_GB2312" w:cs="Times New Roman"/>
                <w:sz w:val="20"/>
                <w:szCs w:val="20"/>
              </w:rPr>
            </w:pPr>
          </w:p>
        </w:tc>
        <w:tc>
          <w:tcPr>
            <w:tcW w:w="1080"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可持续影响指标</w:t>
            </w: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eastAsia="zh-CN"/>
              </w:rPr>
            </w:pPr>
            <w:r>
              <w:rPr>
                <w:rFonts w:hint="eastAsia" w:ascii="Times New Roman" w:hAnsi="Times New Roman" w:eastAsia="仿宋_GB2312" w:cs="Times New Roman"/>
                <w:color w:val="auto"/>
                <w:sz w:val="20"/>
                <w:szCs w:val="20"/>
                <w:lang w:eastAsia="zh-CN"/>
              </w:rPr>
              <w:t>保障网络商品交易监测管理安全性，提升监测平台可持续发展力</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eastAsia="zh-CN"/>
              </w:rPr>
              <w:t>持续影响</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eastAsia="zh-CN"/>
              </w:rPr>
              <w:t>持续影响</w:t>
            </w:r>
          </w:p>
        </w:tc>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eastAsia="zh-CN"/>
              </w:rPr>
            </w:pPr>
            <w:r>
              <w:rPr>
                <w:rFonts w:hint="eastAsia" w:ascii="Times New Roman" w:hAnsi="Times New Roman" w:eastAsia="仿宋_GB2312" w:cs="Times New Roman"/>
                <w:color w:val="auto"/>
                <w:sz w:val="20"/>
                <w:szCs w:val="20"/>
                <w:lang w:val="en-US" w:eastAsia="zh-CN"/>
              </w:rPr>
              <w:t>15</w:t>
            </w:r>
          </w:p>
        </w:tc>
        <w:tc>
          <w:tcPr>
            <w:tcW w:w="8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Times New Roman" w:hAnsi="Times New Roman" w:eastAsia="仿宋_GB2312" w:cs="Times New Roman"/>
                <w:color w:val="auto"/>
                <w:sz w:val="20"/>
                <w:szCs w:val="20"/>
                <w:lang w:val="en-US" w:eastAsia="zh-CN"/>
              </w:rPr>
              <w:t>15</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rPr>
                <w:rFonts w:ascii="Times New Roman" w:hAnsi="Times New Roman" w:eastAsia="仿宋_GB2312" w:cs="Times New Roman"/>
                <w:sz w:val="20"/>
                <w:szCs w:val="20"/>
              </w:rPr>
            </w:pPr>
          </w:p>
        </w:tc>
        <w:tc>
          <w:tcPr>
            <w:tcW w:w="1080" w:type="dxa"/>
            <w:vMerge w:val="continue"/>
            <w:tcBorders>
              <w:left w:val="nil"/>
              <w:bottom w:val="single" w:color="auto" w:sz="4" w:space="0"/>
              <w:right w:val="single" w:color="auto" w:sz="4" w:space="0"/>
            </w:tcBorders>
            <w:vAlign w:val="center"/>
          </w:tcPr>
          <w:p>
            <w:pPr>
              <w:rPr>
                <w:rFonts w:ascii="Times New Roman" w:hAnsi="Times New Roman" w:eastAsia="仿宋_GB2312" w:cs="Times New Roman"/>
                <w:sz w:val="20"/>
                <w:szCs w:val="20"/>
              </w:rPr>
            </w:pPr>
          </w:p>
        </w:tc>
        <w:tc>
          <w:tcPr>
            <w:tcW w:w="1080" w:type="dxa"/>
            <w:vMerge w:val="continue"/>
            <w:tcBorders>
              <w:left w:val="single" w:color="auto" w:sz="4" w:space="0"/>
              <w:bottom w:val="single" w:color="auto" w:sz="4" w:space="0"/>
              <w:right w:val="single" w:color="auto" w:sz="4" w:space="0"/>
            </w:tcBorders>
            <w:vAlign w:val="center"/>
          </w:tcPr>
          <w:p>
            <w:pPr>
              <w:rPr>
                <w:rFonts w:ascii="Times New Roman" w:hAnsi="Times New Roman" w:eastAsia="仿宋_GB2312" w:cs="Times New Roman"/>
                <w:color w:val="auto"/>
                <w:sz w:val="20"/>
                <w:szCs w:val="20"/>
              </w:rPr>
            </w:pPr>
          </w:p>
        </w:tc>
        <w:tc>
          <w:tcPr>
            <w:tcW w:w="122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w:t>
            </w:r>
          </w:p>
        </w:tc>
        <w:tc>
          <w:tcPr>
            <w:tcW w:w="113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c>
          <w:tcPr>
            <w:tcW w:w="113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c>
          <w:tcPr>
            <w:tcW w:w="828"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c>
          <w:tcPr>
            <w:tcW w:w="873"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c>
          <w:tcPr>
            <w:tcW w:w="1418"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rPr>
                <w:rFonts w:ascii="Times New Roman" w:hAnsi="Times New Roman" w:eastAsia="仿宋_GB2312" w:cs="Times New Roman"/>
                <w:sz w:val="20"/>
                <w:szCs w:val="20"/>
              </w:rPr>
            </w:pPr>
          </w:p>
        </w:tc>
        <w:tc>
          <w:tcPr>
            <w:tcW w:w="1080" w:type="dxa"/>
            <w:vMerge w:val="restart"/>
            <w:tcBorders>
              <w:top w:val="nil"/>
              <w:left w:val="nil"/>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满意度</w:t>
            </w:r>
          </w:p>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指标</w:t>
            </w:r>
          </w:p>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（10分）</w:t>
            </w:r>
          </w:p>
        </w:tc>
        <w:tc>
          <w:tcPr>
            <w:tcW w:w="1080" w:type="dxa"/>
            <w:vMerge w:val="restart"/>
            <w:tcBorders>
              <w:top w:val="nil"/>
              <w:left w:val="nil"/>
              <w:right w:val="single" w:color="auto" w:sz="4" w:space="0"/>
            </w:tcBorders>
            <w:vAlign w:val="center"/>
          </w:tcPr>
          <w:p>
            <w:pPr>
              <w:jc w:val="center"/>
              <w:rPr>
                <w:rFonts w:ascii="Times New Roman" w:hAnsi="Times New Roman" w:eastAsia="仿宋_GB2312" w:cs="Times New Roman"/>
                <w:color w:val="auto"/>
                <w:sz w:val="20"/>
                <w:szCs w:val="20"/>
              </w:rPr>
            </w:pPr>
            <w:r>
              <w:rPr>
                <w:rFonts w:ascii="Times New Roman" w:hAnsi="Times New Roman" w:eastAsia="仿宋_GB2312" w:cs="Times New Roman"/>
                <w:color w:val="auto"/>
                <w:sz w:val="20"/>
                <w:szCs w:val="20"/>
              </w:rPr>
              <w:t>服务对象满意度指标</w:t>
            </w:r>
          </w:p>
        </w:tc>
        <w:tc>
          <w:tcPr>
            <w:tcW w:w="1224" w:type="dxa"/>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eastAsia="zh-CN"/>
              </w:rPr>
            </w:pPr>
            <w:r>
              <w:rPr>
                <w:rFonts w:hint="eastAsia" w:ascii="Times New Roman" w:hAnsi="Times New Roman" w:eastAsia="仿宋_GB2312" w:cs="Times New Roman"/>
                <w:color w:val="auto"/>
                <w:sz w:val="20"/>
                <w:szCs w:val="20"/>
                <w:lang w:eastAsia="zh-CN"/>
              </w:rPr>
              <w:t>网络监测服务对象满意度</w:t>
            </w:r>
          </w:p>
        </w:tc>
        <w:tc>
          <w:tcPr>
            <w:tcW w:w="113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仿宋" w:hAnsi="仿宋" w:eastAsia="仿宋" w:cs="仿宋"/>
                <w:color w:val="auto"/>
                <w:kern w:val="0"/>
                <w:sz w:val="18"/>
                <w:szCs w:val="18"/>
              </w:rPr>
              <w:t>≧</w:t>
            </w:r>
            <w:r>
              <w:rPr>
                <w:rFonts w:hint="eastAsia" w:ascii="仿宋" w:hAnsi="仿宋" w:eastAsia="仿宋" w:cs="仿宋"/>
                <w:color w:val="auto"/>
                <w:kern w:val="0"/>
                <w:sz w:val="18"/>
                <w:szCs w:val="18"/>
                <w:lang w:val="en-US" w:eastAsia="zh-CN"/>
              </w:rPr>
              <w:t>9</w:t>
            </w:r>
            <w:r>
              <w:rPr>
                <w:rFonts w:hint="eastAsia" w:ascii="仿宋" w:hAnsi="仿宋" w:eastAsia="仿宋" w:cs="仿宋"/>
                <w:color w:val="auto"/>
                <w:kern w:val="0"/>
                <w:sz w:val="18"/>
                <w:szCs w:val="18"/>
              </w:rPr>
              <w:t>0%</w:t>
            </w:r>
          </w:p>
        </w:tc>
        <w:tc>
          <w:tcPr>
            <w:tcW w:w="113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r>
              <w:rPr>
                <w:rFonts w:hint="eastAsia" w:ascii="仿宋" w:hAnsi="仿宋" w:eastAsia="仿宋" w:cs="仿宋"/>
                <w:color w:val="auto"/>
                <w:kern w:val="0"/>
                <w:sz w:val="18"/>
                <w:szCs w:val="18"/>
                <w:lang w:val="en-US" w:eastAsia="zh-CN"/>
              </w:rPr>
              <w:t>9</w:t>
            </w:r>
            <w:r>
              <w:rPr>
                <w:rFonts w:hint="eastAsia" w:ascii="仿宋" w:hAnsi="仿宋" w:eastAsia="仿宋" w:cs="仿宋"/>
                <w:color w:val="auto"/>
                <w:kern w:val="0"/>
                <w:sz w:val="18"/>
                <w:szCs w:val="18"/>
              </w:rPr>
              <w:t>0%</w:t>
            </w:r>
          </w:p>
        </w:tc>
        <w:tc>
          <w:tcPr>
            <w:tcW w:w="828" w:type="dxa"/>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eastAsia="zh-CN"/>
              </w:rPr>
            </w:pPr>
            <w:r>
              <w:rPr>
                <w:rFonts w:hint="eastAsia" w:ascii="Times New Roman" w:hAnsi="Times New Roman" w:eastAsia="仿宋_GB2312" w:cs="Times New Roman"/>
                <w:color w:val="auto"/>
                <w:sz w:val="20"/>
                <w:szCs w:val="20"/>
                <w:lang w:val="en-US" w:eastAsia="zh-CN"/>
              </w:rPr>
              <w:t>15</w:t>
            </w:r>
          </w:p>
        </w:tc>
        <w:tc>
          <w:tcPr>
            <w:tcW w:w="873" w:type="dxa"/>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20"/>
                <w:szCs w:val="20"/>
                <w:lang w:eastAsia="zh-CN"/>
              </w:rPr>
            </w:pPr>
            <w:r>
              <w:rPr>
                <w:rFonts w:hint="eastAsia" w:ascii="Times New Roman" w:hAnsi="Times New Roman" w:eastAsia="仿宋_GB2312" w:cs="Times New Roman"/>
                <w:color w:val="auto"/>
                <w:sz w:val="20"/>
                <w:szCs w:val="20"/>
                <w:lang w:val="en-US" w:eastAsia="zh-CN"/>
              </w:rPr>
              <w:t>15</w:t>
            </w:r>
          </w:p>
        </w:tc>
        <w:tc>
          <w:tcPr>
            <w:tcW w:w="1418"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color w:val="auto"/>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bottom w:val="single" w:color="auto" w:sz="4" w:space="0"/>
              <w:right w:val="single" w:color="auto" w:sz="4" w:space="0"/>
            </w:tcBorders>
            <w:vAlign w:val="center"/>
          </w:tcPr>
          <w:p>
            <w:pPr>
              <w:rPr>
                <w:rFonts w:ascii="Times New Roman" w:hAnsi="Times New Roman" w:eastAsia="仿宋_GB2312" w:cs="Times New Roman"/>
                <w:sz w:val="20"/>
                <w:szCs w:val="20"/>
              </w:rPr>
            </w:pPr>
          </w:p>
        </w:tc>
        <w:tc>
          <w:tcPr>
            <w:tcW w:w="1080" w:type="dxa"/>
            <w:vMerge w:val="continue"/>
            <w:tcBorders>
              <w:left w:val="nil"/>
              <w:bottom w:val="single" w:color="auto" w:sz="4" w:space="0"/>
              <w:right w:val="single" w:color="auto" w:sz="4" w:space="0"/>
            </w:tcBorders>
            <w:vAlign w:val="center"/>
          </w:tcPr>
          <w:p>
            <w:pPr>
              <w:rPr>
                <w:rFonts w:ascii="Times New Roman" w:hAnsi="Times New Roman" w:eastAsia="仿宋_GB2312" w:cs="Times New Roman"/>
                <w:sz w:val="20"/>
                <w:szCs w:val="20"/>
              </w:rPr>
            </w:pPr>
          </w:p>
        </w:tc>
        <w:tc>
          <w:tcPr>
            <w:tcW w:w="1080" w:type="dxa"/>
            <w:vMerge w:val="continue"/>
            <w:tcBorders>
              <w:left w:val="nil"/>
              <w:bottom w:val="single" w:color="auto" w:sz="4" w:space="0"/>
              <w:right w:val="single" w:color="auto" w:sz="4" w:space="0"/>
            </w:tcBorders>
            <w:vAlign w:val="center"/>
          </w:tcPr>
          <w:p>
            <w:pPr>
              <w:rPr>
                <w:rFonts w:ascii="Times New Roman" w:hAnsi="Times New Roman" w:eastAsia="仿宋_GB2312" w:cs="Times New Roman"/>
                <w:sz w:val="20"/>
                <w:szCs w:val="20"/>
              </w:rPr>
            </w:pPr>
          </w:p>
        </w:tc>
        <w:tc>
          <w:tcPr>
            <w:tcW w:w="122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w:t>
            </w:r>
          </w:p>
        </w:tc>
        <w:tc>
          <w:tcPr>
            <w:tcW w:w="113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p>
        </w:tc>
        <w:tc>
          <w:tcPr>
            <w:tcW w:w="1134"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p>
        </w:tc>
        <w:tc>
          <w:tcPr>
            <w:tcW w:w="828"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p>
        </w:tc>
        <w:tc>
          <w:tcPr>
            <w:tcW w:w="873"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p>
        </w:tc>
        <w:tc>
          <w:tcPr>
            <w:tcW w:w="1418"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p>
        </w:tc>
      </w:tr>
      <w:tr>
        <w:tblPrEx>
          <w:tblLayout w:type="fixed"/>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总分</w:t>
            </w:r>
          </w:p>
        </w:tc>
        <w:tc>
          <w:tcPr>
            <w:tcW w:w="828" w:type="dxa"/>
            <w:tcBorders>
              <w:top w:val="nil"/>
              <w:left w:val="nil"/>
              <w:bottom w:val="single" w:color="auto" w:sz="4" w:space="0"/>
              <w:right w:val="single" w:color="auto" w:sz="4" w:space="0"/>
            </w:tcBorders>
            <w:vAlign w:val="center"/>
          </w:tcPr>
          <w:p>
            <w:pPr>
              <w:jc w:val="center"/>
              <w:rPr>
                <w:rFonts w:ascii="Times New Roman" w:hAnsi="Times New Roman" w:eastAsia="仿宋_GB2312" w:cs="Times New Roman"/>
                <w:sz w:val="20"/>
                <w:szCs w:val="20"/>
              </w:rPr>
            </w:pPr>
            <w:r>
              <w:rPr>
                <w:rFonts w:ascii="Times New Roman" w:hAnsi="Times New Roman" w:eastAsia="仿宋_GB2312" w:cs="Times New Roman"/>
                <w:sz w:val="20"/>
                <w:szCs w:val="20"/>
              </w:rPr>
              <w:t>100</w:t>
            </w:r>
          </w:p>
        </w:tc>
        <w:tc>
          <w:tcPr>
            <w:tcW w:w="873" w:type="dxa"/>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100</w:t>
            </w:r>
          </w:p>
        </w:tc>
        <w:tc>
          <w:tcPr>
            <w:tcW w:w="1418" w:type="dxa"/>
            <w:tcBorders>
              <w:top w:val="nil"/>
              <w:left w:val="nil"/>
              <w:bottom w:val="single" w:color="auto" w:sz="4" w:space="0"/>
              <w:right w:val="single" w:color="auto" w:sz="4" w:space="0"/>
            </w:tcBorders>
            <w:vAlign w:val="center"/>
          </w:tcPr>
          <w:p>
            <w:pPr>
              <w:rPr>
                <w:rFonts w:ascii="Times New Roman" w:hAnsi="Times New Roman" w:eastAsia="仿宋_GB2312" w:cs="Times New Roman"/>
                <w:sz w:val="20"/>
                <w:szCs w:val="20"/>
              </w:rPr>
            </w:pPr>
            <w:r>
              <w:rPr>
                <w:rFonts w:ascii="Times New Roman" w:hAnsi="Times New Roman" w:eastAsia="仿宋_GB2312" w:cs="Times New Roman"/>
                <w:sz w:val="20"/>
                <w:szCs w:val="20"/>
              </w:rPr>
              <w:t>　</w:t>
            </w:r>
          </w:p>
        </w:tc>
      </w:tr>
    </w:tbl>
    <w:p>
      <w:pPr>
        <w:spacing w:line="140" w:lineRule="exact"/>
      </w:pPr>
    </w:p>
    <w:p>
      <w:pPr>
        <w:spacing w:before="167" w:line="225" w:lineRule="auto"/>
        <w:sectPr>
          <w:footerReference r:id="rId4" w:type="default"/>
          <w:pgSz w:w="11905" w:h="16840"/>
          <w:pgMar w:top="400" w:right="1435" w:bottom="1250" w:left="1436" w:header="0" w:footer="982" w:gutter="0"/>
          <w:pgBorders>
            <w:top w:val="none" w:sz="0" w:space="0"/>
            <w:left w:val="none" w:sz="0" w:space="0"/>
            <w:bottom w:val="none" w:sz="0" w:space="0"/>
            <w:right w:val="none" w:sz="0" w:space="0"/>
          </w:pgBorders>
          <w:pgNumType w:fmt="numberInDash"/>
          <w:cols w:space="720" w:num="1"/>
        </w:sectPr>
      </w:pPr>
      <w:r>
        <w:rPr>
          <w:rFonts w:ascii="微软雅黑" w:hAnsi="微软雅黑" w:eastAsia="微软雅黑" w:cs="微软雅黑"/>
          <w:spacing w:val="-7"/>
        </w:rPr>
        <w:t>填表人：</w:t>
      </w:r>
      <w:r>
        <w:rPr>
          <w:rFonts w:hint="eastAsia" w:ascii="微软雅黑" w:hAnsi="微软雅黑" w:eastAsia="微软雅黑" w:cs="微软雅黑"/>
          <w:spacing w:val="-7"/>
          <w:lang w:eastAsia="zh-CN"/>
        </w:rPr>
        <w:t>宋炀</w:t>
      </w:r>
      <w:r>
        <w:rPr>
          <w:rFonts w:ascii="微软雅黑" w:hAnsi="微软雅黑" w:eastAsia="微软雅黑" w:cs="微软雅黑"/>
          <w:spacing w:val="-7"/>
        </w:rPr>
        <w:t>  填报日期：</w:t>
      </w:r>
      <w:r>
        <w:rPr>
          <w:rFonts w:hint="eastAsia" w:ascii="微软雅黑" w:hAnsi="微软雅黑" w:eastAsia="微软雅黑" w:cs="微软雅黑"/>
          <w:spacing w:val="-7"/>
          <w:lang w:val="en-US" w:eastAsia="zh-CN"/>
        </w:rPr>
        <w:t>2024.03.28</w:t>
      </w:r>
      <w:r>
        <w:rPr>
          <w:rFonts w:ascii="微软雅黑" w:hAnsi="微软雅黑" w:eastAsia="微软雅黑" w:cs="微软雅黑"/>
          <w:spacing w:val="-7"/>
        </w:rPr>
        <w:t>    联系电话：</w:t>
      </w:r>
      <w:r>
        <w:rPr>
          <w:rFonts w:hint="eastAsia" w:ascii="微软雅黑" w:hAnsi="微软雅黑" w:eastAsia="微软雅黑" w:cs="微软雅黑"/>
          <w:spacing w:val="-7"/>
          <w:lang w:val="en-US" w:eastAsia="zh-CN"/>
        </w:rPr>
        <w:t>13507419009</w:t>
      </w:r>
      <w:r>
        <w:rPr>
          <w:rFonts w:ascii="微软雅黑" w:hAnsi="微软雅黑" w:eastAsia="微软雅黑" w:cs="微软雅黑"/>
          <w:spacing w:val="-7"/>
        </w:rPr>
        <w:t>  单位负责人签字</w:t>
      </w:r>
      <w:r>
        <w:rPr>
          <w:rFonts w:ascii="微软雅黑" w:hAnsi="微软雅黑" w:eastAsia="微软雅黑" w:cs="微软雅黑"/>
          <w:spacing w:val="-4"/>
        </w:rPr>
        <w:t>：</w:t>
      </w:r>
      <w:r>
        <w:rPr>
          <w:rFonts w:hint="eastAsia" w:ascii="Times New Roman" w:hAnsi="Times New Roman" w:eastAsia="仿宋_GB2312" w:cs="Times New Roman"/>
          <w:sz w:val="22"/>
          <w:lang w:eastAsia="zh-CN"/>
        </w:rPr>
        <w:t>颜珠容</w:t>
      </w:r>
    </w:p>
    <w:p>
      <w:pPr>
        <w:spacing w:line="262" w:lineRule="auto"/>
      </w:pPr>
    </w:p>
    <w:p>
      <w:pPr>
        <w:autoSpaceDE/>
        <w:autoSpaceDN/>
        <w:spacing w:before="104" w:line="425" w:lineRule="exact"/>
        <w:ind w:left="69"/>
        <w:rPr>
          <w:rFonts w:hint="eastAsia" w:ascii="Times New Roman" w:hAnsi="Times New Roman" w:eastAsia="方正黑体_GBK" w:cs="Times New Roman"/>
          <w:color w:val="auto"/>
          <w:sz w:val="32"/>
          <w:szCs w:val="32"/>
        </w:rPr>
      </w:pPr>
      <w:r>
        <w:rPr>
          <w:rFonts w:ascii="Times New Roman" w:hAnsi="Times New Roman" w:eastAsia="方正黑体_GBK" w:cs="Times New Roman"/>
          <w:color w:val="auto"/>
          <w:sz w:val="32"/>
          <w:szCs w:val="32"/>
        </w:rPr>
        <w:t>附件</w:t>
      </w:r>
      <w:r>
        <w:rPr>
          <w:rFonts w:hint="eastAsia" w:ascii="Times New Roman" w:hAnsi="Times New Roman" w:eastAsia="方正黑体_GBK" w:cs="Times New Roman"/>
          <w:color w:val="auto"/>
          <w:sz w:val="32"/>
          <w:szCs w:val="32"/>
        </w:rPr>
        <w:t>6</w:t>
      </w:r>
    </w:p>
    <w:p>
      <w:pPr>
        <w:autoSpaceDE/>
        <w:autoSpaceDN/>
        <w:spacing w:before="240" w:beforeLines="100" w:after="240" w:afterLines="100" w:line="600" w:lineRule="exact"/>
        <w:jc w:val="center"/>
        <w:rPr>
          <w:rFonts w:ascii="Times New Roman" w:hAnsi="Times New Roman" w:eastAsia="方正小标宋_GBK" w:cs="Times New Roman"/>
          <w:color w:val="auto"/>
          <w:sz w:val="44"/>
          <w:szCs w:val="44"/>
        </w:rPr>
      </w:pPr>
      <w:r>
        <w:rPr>
          <w:rFonts w:ascii="Times New Roman" w:hAnsi="Times New Roman" w:eastAsia="方正小标宋_GBK" w:cs="Times New Roman"/>
          <w:color w:val="auto"/>
          <w:spacing w:val="-17"/>
          <w:sz w:val="44"/>
          <w:szCs w:val="44"/>
        </w:rPr>
        <w:t>202</w:t>
      </w:r>
      <w:r>
        <w:rPr>
          <w:rFonts w:hint="eastAsia" w:ascii="Times New Roman" w:hAnsi="Times New Roman" w:eastAsia="方正小标宋_GBK" w:cs="Times New Roman"/>
          <w:color w:val="auto"/>
          <w:spacing w:val="-17"/>
          <w:sz w:val="44"/>
          <w:szCs w:val="44"/>
        </w:rPr>
        <w:t>3</w:t>
      </w:r>
      <w:r>
        <w:rPr>
          <w:rFonts w:ascii="Times New Roman" w:hAnsi="Times New Roman" w:eastAsia="方正小标宋_GBK" w:cs="Times New Roman"/>
          <w:color w:val="auto"/>
          <w:spacing w:val="-17"/>
          <w:sz w:val="44"/>
          <w:szCs w:val="44"/>
        </w:rPr>
        <w:t>年</w:t>
      </w:r>
      <w:r>
        <w:rPr>
          <w:rFonts w:hint="eastAsia" w:ascii="Times New Roman" w:hAnsi="Times New Roman" w:eastAsia="方正小标宋_GBK" w:cs="Times New Roman"/>
          <w:color w:val="auto"/>
          <w:spacing w:val="-17"/>
          <w:sz w:val="44"/>
          <w:szCs w:val="44"/>
        </w:rPr>
        <w:t>度</w:t>
      </w:r>
      <w:r>
        <w:rPr>
          <w:rFonts w:ascii="Times New Roman" w:hAnsi="Times New Roman" w:eastAsia="方正小标宋_GBK" w:cs="Times New Roman"/>
          <w:color w:val="auto"/>
          <w:spacing w:val="-17"/>
          <w:sz w:val="44"/>
          <w:szCs w:val="44"/>
        </w:rPr>
        <w:t>项目支出绩效自评表（其他事业发展类）</w:t>
      </w:r>
    </w:p>
    <w:tbl>
      <w:tblPr>
        <w:tblStyle w:val="11"/>
        <w:tblW w:w="9260" w:type="dxa"/>
        <w:jc w:val="center"/>
        <w:tblInd w:w="0" w:type="dxa"/>
        <w:tblLayout w:type="fixed"/>
        <w:tblCellMar>
          <w:top w:w="0" w:type="dxa"/>
          <w:left w:w="108" w:type="dxa"/>
          <w:bottom w:w="0" w:type="dxa"/>
          <w:right w:w="108" w:type="dxa"/>
        </w:tblCellMar>
      </w:tblPr>
      <w:tblGrid>
        <w:gridCol w:w="1014"/>
        <w:gridCol w:w="1015"/>
        <w:gridCol w:w="898"/>
        <w:gridCol w:w="1171"/>
        <w:gridCol w:w="1169"/>
        <w:gridCol w:w="1204"/>
        <w:gridCol w:w="1"/>
        <w:gridCol w:w="632"/>
        <w:gridCol w:w="820"/>
        <w:gridCol w:w="1"/>
        <w:gridCol w:w="1335"/>
      </w:tblGrid>
      <w:tr>
        <w:tblPrEx>
          <w:tblLayout w:type="fixed"/>
          <w:tblCellMar>
            <w:top w:w="0" w:type="dxa"/>
            <w:left w:w="108" w:type="dxa"/>
            <w:bottom w:w="0" w:type="dxa"/>
            <w:right w:w="108" w:type="dxa"/>
          </w:tblCellMar>
        </w:tblPrEx>
        <w:trPr>
          <w:trHeight w:val="266" w:hRule="atLeast"/>
          <w:jc w:val="center"/>
        </w:trPr>
        <w:tc>
          <w:tcPr>
            <w:tcW w:w="2927" w:type="dxa"/>
            <w:gridSpan w:val="3"/>
            <w:tcBorders>
              <w:top w:val="single" w:color="auto" w:sz="4" w:space="0"/>
              <w:left w:val="single" w:color="auto" w:sz="4" w:space="0"/>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项目支出名称</w:t>
            </w:r>
          </w:p>
        </w:tc>
        <w:tc>
          <w:tcPr>
            <w:tcW w:w="6333" w:type="dxa"/>
            <w:gridSpan w:val="8"/>
            <w:tcBorders>
              <w:top w:val="single" w:color="auto" w:sz="4" w:space="0"/>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lang w:eastAsia="zh-CN"/>
              </w:rPr>
            </w:pPr>
            <w:r>
              <w:rPr>
                <w:rFonts w:hint="eastAsia" w:ascii="Times New Roman" w:hAnsi="Times New Roman" w:eastAsia="仿宋_GB2312" w:cs="Times New Roman"/>
                <w:sz w:val="20"/>
                <w:szCs w:val="20"/>
                <w:lang w:val="en-US" w:eastAsia="zh-CN"/>
              </w:rPr>
              <w:t>其他事业发展资金（绩效工资补助）</w:t>
            </w:r>
          </w:p>
        </w:tc>
      </w:tr>
      <w:tr>
        <w:tblPrEx>
          <w:tblLayout w:type="fixed"/>
          <w:tblCellMar>
            <w:top w:w="0" w:type="dxa"/>
            <w:left w:w="108" w:type="dxa"/>
            <w:bottom w:w="0" w:type="dxa"/>
            <w:right w:w="108" w:type="dxa"/>
          </w:tblCellMar>
        </w:tblPrEx>
        <w:trPr>
          <w:trHeight w:val="266" w:hRule="atLeast"/>
          <w:jc w:val="center"/>
        </w:trPr>
        <w:tc>
          <w:tcPr>
            <w:tcW w:w="1014" w:type="dxa"/>
            <w:tcBorders>
              <w:top w:val="nil"/>
              <w:left w:val="single" w:color="auto" w:sz="4" w:space="0"/>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主管部门</w:t>
            </w:r>
          </w:p>
        </w:tc>
        <w:tc>
          <w:tcPr>
            <w:tcW w:w="4253" w:type="dxa"/>
            <w:gridSpan w:val="4"/>
            <w:tcBorders>
              <w:top w:val="single" w:color="auto" w:sz="4" w:space="0"/>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Times New Roman" w:hAnsi="Times New Roman" w:eastAsia="仿宋_GB2312" w:cs="Times New Roman"/>
                <w:sz w:val="20"/>
                <w:szCs w:val="20"/>
                <w:lang w:eastAsia="zh-CN"/>
              </w:rPr>
              <w:t>湖南省市场监督管理局</w:t>
            </w:r>
          </w:p>
        </w:tc>
        <w:tc>
          <w:tcPr>
            <w:tcW w:w="1205" w:type="dxa"/>
            <w:gridSpan w:val="2"/>
            <w:tcBorders>
              <w:top w:val="single" w:color="auto" w:sz="4" w:space="0"/>
              <w:left w:val="nil"/>
              <w:bottom w:val="single" w:color="auto" w:sz="4" w:space="0"/>
              <w:right w:val="single" w:color="000000"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实施单位</w:t>
            </w:r>
          </w:p>
        </w:tc>
        <w:tc>
          <w:tcPr>
            <w:tcW w:w="2788" w:type="dxa"/>
            <w:gridSpan w:val="4"/>
            <w:tcBorders>
              <w:top w:val="single" w:color="auto" w:sz="4" w:space="0"/>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Times New Roman" w:hAnsi="Times New Roman" w:eastAsia="仿宋_GB2312" w:cs="Times New Roman"/>
                <w:sz w:val="20"/>
                <w:szCs w:val="20"/>
                <w:lang w:eastAsia="zh-CN"/>
              </w:rPr>
              <w:t>湖南省网络商品交易监测中心</w:t>
            </w:r>
          </w:p>
        </w:tc>
      </w:tr>
      <w:tr>
        <w:tblPrEx>
          <w:tblLayout w:type="fixed"/>
          <w:tblCellMar>
            <w:top w:w="0" w:type="dxa"/>
            <w:left w:w="108" w:type="dxa"/>
            <w:bottom w:w="0" w:type="dxa"/>
            <w:right w:w="108" w:type="dxa"/>
          </w:tblCellMar>
        </w:tblPrEx>
        <w:trPr>
          <w:trHeight w:val="266" w:hRule="atLeast"/>
          <w:jc w:val="center"/>
        </w:trPr>
        <w:tc>
          <w:tcPr>
            <w:tcW w:w="1014" w:type="dxa"/>
            <w:vMerge w:val="restart"/>
            <w:tcBorders>
              <w:top w:val="nil"/>
              <w:left w:val="single" w:color="auto" w:sz="4" w:space="0"/>
              <w:bottom w:val="single" w:color="000000" w:sz="4" w:space="0"/>
              <w:right w:val="single" w:color="auto" w:sz="4" w:space="0"/>
            </w:tcBorders>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项目资金</w:t>
            </w:r>
            <w:r>
              <w:rPr>
                <w:rFonts w:hint="eastAsia" w:ascii="仿宋" w:hAnsi="仿宋" w:eastAsia="仿宋" w:cs="仿宋"/>
                <w:color w:val="auto"/>
              </w:rPr>
              <w:br w:type="textWrapping"/>
            </w:r>
            <w:r>
              <w:rPr>
                <w:rFonts w:hint="eastAsia" w:ascii="仿宋" w:hAnsi="仿宋" w:eastAsia="仿宋" w:cs="仿宋"/>
                <w:color w:val="auto"/>
              </w:rPr>
              <w:t>（万元）</w:t>
            </w:r>
          </w:p>
        </w:tc>
        <w:tc>
          <w:tcPr>
            <w:tcW w:w="1913"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171" w:type="dxa"/>
            <w:tcBorders>
              <w:top w:val="nil"/>
              <w:left w:val="nil"/>
              <w:bottom w:val="single" w:color="auto" w:sz="4" w:space="0"/>
              <w:right w:val="single" w:color="auto" w:sz="4" w:space="0"/>
            </w:tcBorders>
            <w:tcMar>
              <w:top w:w="0" w:type="dxa"/>
              <w:left w:w="0" w:type="dxa"/>
              <w:bottom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年初预算数</w:t>
            </w:r>
          </w:p>
        </w:tc>
        <w:tc>
          <w:tcPr>
            <w:tcW w:w="1169"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全年预算数</w:t>
            </w:r>
          </w:p>
        </w:tc>
        <w:tc>
          <w:tcPr>
            <w:tcW w:w="1205"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全年执行数</w:t>
            </w:r>
          </w:p>
        </w:tc>
        <w:tc>
          <w:tcPr>
            <w:tcW w:w="632"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分值</w:t>
            </w:r>
          </w:p>
        </w:tc>
        <w:tc>
          <w:tcPr>
            <w:tcW w:w="821"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执行率</w:t>
            </w:r>
          </w:p>
        </w:tc>
        <w:tc>
          <w:tcPr>
            <w:tcW w:w="1335"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自评得分</w:t>
            </w:r>
          </w:p>
        </w:tc>
      </w:tr>
      <w:tr>
        <w:tblPrEx>
          <w:tblLayout w:type="fixed"/>
          <w:tblCellMar>
            <w:top w:w="0" w:type="dxa"/>
            <w:left w:w="108" w:type="dxa"/>
            <w:bottom w:w="0" w:type="dxa"/>
            <w:right w:w="108" w:type="dxa"/>
          </w:tblCellMar>
        </w:tblPrEx>
        <w:trPr>
          <w:trHeight w:val="266" w:hRule="atLeast"/>
          <w:jc w:val="center"/>
        </w:trPr>
        <w:tc>
          <w:tcPr>
            <w:tcW w:w="1014" w:type="dxa"/>
            <w:vMerge w:val="continue"/>
            <w:tcBorders>
              <w:top w:val="nil"/>
              <w:left w:val="single" w:color="auto" w:sz="4" w:space="0"/>
              <w:bottom w:val="single" w:color="000000"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913"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年度资金总额</w:t>
            </w:r>
          </w:p>
        </w:tc>
        <w:tc>
          <w:tcPr>
            <w:tcW w:w="1171"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0</w:t>
            </w:r>
          </w:p>
        </w:tc>
        <w:tc>
          <w:tcPr>
            <w:tcW w:w="1169"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135.01</w:t>
            </w:r>
          </w:p>
        </w:tc>
        <w:tc>
          <w:tcPr>
            <w:tcW w:w="1205"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37.54</w:t>
            </w:r>
          </w:p>
        </w:tc>
        <w:tc>
          <w:tcPr>
            <w:tcW w:w="632"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10</w:t>
            </w:r>
          </w:p>
        </w:tc>
        <w:tc>
          <w:tcPr>
            <w:tcW w:w="821"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27.81%</w:t>
            </w:r>
          </w:p>
        </w:tc>
        <w:tc>
          <w:tcPr>
            <w:tcW w:w="1335"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6</w:t>
            </w:r>
          </w:p>
        </w:tc>
      </w:tr>
      <w:tr>
        <w:tblPrEx>
          <w:tblLayout w:type="fixed"/>
          <w:tblCellMar>
            <w:top w:w="0" w:type="dxa"/>
            <w:left w:w="108" w:type="dxa"/>
            <w:bottom w:w="0" w:type="dxa"/>
            <w:right w:w="108" w:type="dxa"/>
          </w:tblCellMar>
        </w:tblPrEx>
        <w:trPr>
          <w:trHeight w:val="266" w:hRule="atLeast"/>
          <w:jc w:val="center"/>
        </w:trPr>
        <w:tc>
          <w:tcPr>
            <w:tcW w:w="1014" w:type="dxa"/>
            <w:vMerge w:val="continue"/>
            <w:tcBorders>
              <w:top w:val="nil"/>
              <w:left w:val="single" w:color="auto" w:sz="4" w:space="0"/>
              <w:bottom w:val="single" w:color="000000"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913"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其中：当年财政拨款</w:t>
            </w:r>
          </w:p>
        </w:tc>
        <w:tc>
          <w:tcPr>
            <w:tcW w:w="1171"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0</w:t>
            </w:r>
          </w:p>
        </w:tc>
        <w:tc>
          <w:tcPr>
            <w:tcW w:w="1169"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lang w:val="en-US" w:eastAsia="zh-CN"/>
              </w:rPr>
              <w:t>135.01</w:t>
            </w:r>
          </w:p>
        </w:tc>
        <w:tc>
          <w:tcPr>
            <w:tcW w:w="1205"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lang w:val="en-US" w:eastAsia="zh-CN"/>
              </w:rPr>
              <w:t>37.54</w:t>
            </w:r>
          </w:p>
        </w:tc>
        <w:tc>
          <w:tcPr>
            <w:tcW w:w="632"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10</w:t>
            </w:r>
          </w:p>
        </w:tc>
        <w:tc>
          <w:tcPr>
            <w:tcW w:w="821"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lang w:val="en-US" w:eastAsia="zh-CN"/>
              </w:rPr>
              <w:t>27.81%</w:t>
            </w:r>
          </w:p>
        </w:tc>
        <w:tc>
          <w:tcPr>
            <w:tcW w:w="1335"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lang w:val="en-US" w:eastAsia="zh-CN"/>
              </w:rPr>
              <w:t>6</w:t>
            </w:r>
          </w:p>
        </w:tc>
      </w:tr>
      <w:tr>
        <w:tblPrEx>
          <w:tblLayout w:type="fixed"/>
          <w:tblCellMar>
            <w:top w:w="0" w:type="dxa"/>
            <w:left w:w="108" w:type="dxa"/>
            <w:bottom w:w="0" w:type="dxa"/>
            <w:right w:w="108" w:type="dxa"/>
          </w:tblCellMar>
        </w:tblPrEx>
        <w:trPr>
          <w:trHeight w:val="266" w:hRule="atLeast"/>
          <w:jc w:val="center"/>
        </w:trPr>
        <w:tc>
          <w:tcPr>
            <w:tcW w:w="1014" w:type="dxa"/>
            <w:vMerge w:val="continue"/>
            <w:tcBorders>
              <w:top w:val="nil"/>
              <w:left w:val="single" w:color="auto" w:sz="4" w:space="0"/>
              <w:bottom w:val="single" w:color="000000"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913" w:type="dxa"/>
            <w:gridSpan w:val="2"/>
            <w:tcBorders>
              <w:top w:val="nil"/>
              <w:left w:val="nil"/>
              <w:bottom w:val="single" w:color="auto" w:sz="4" w:space="0"/>
              <w:right w:val="single" w:color="auto" w:sz="4" w:space="0"/>
            </w:tcBorders>
            <w:tcMar>
              <w:top w:w="0" w:type="dxa"/>
              <w:left w:w="0" w:type="dxa"/>
              <w:bottom w:w="0" w:type="dxa"/>
              <w:right w:w="0" w:type="dxa"/>
            </w:tcMar>
            <w:vAlign w:val="center"/>
          </w:tcPr>
          <w:p>
            <w:pPr>
              <w:autoSpaceDE/>
              <w:autoSpaceDN/>
              <w:spacing w:line="240" w:lineRule="exact"/>
              <w:ind w:firstLine="630" w:firstLineChars="300"/>
              <w:jc w:val="center"/>
              <w:rPr>
                <w:rFonts w:hint="eastAsia" w:ascii="仿宋" w:hAnsi="仿宋" w:eastAsia="仿宋" w:cs="仿宋"/>
                <w:color w:val="auto"/>
              </w:rPr>
            </w:pPr>
            <w:r>
              <w:rPr>
                <w:rFonts w:hint="eastAsia" w:ascii="仿宋" w:hAnsi="仿宋" w:eastAsia="仿宋" w:cs="仿宋"/>
                <w:color w:val="auto"/>
              </w:rPr>
              <w:t>上年结转资金</w:t>
            </w:r>
          </w:p>
        </w:tc>
        <w:tc>
          <w:tcPr>
            <w:tcW w:w="1171"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lang w:val="en-US" w:eastAsia="zh-CN"/>
              </w:rPr>
              <w:t>0</w:t>
            </w:r>
          </w:p>
        </w:tc>
        <w:tc>
          <w:tcPr>
            <w:tcW w:w="1169"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lang w:val="en-US" w:eastAsia="zh-CN"/>
              </w:rPr>
              <w:t>0</w:t>
            </w:r>
          </w:p>
        </w:tc>
        <w:tc>
          <w:tcPr>
            <w:tcW w:w="1205"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lang w:val="en-US" w:eastAsia="zh-CN"/>
              </w:rPr>
              <w:t>0</w:t>
            </w:r>
          </w:p>
        </w:tc>
        <w:tc>
          <w:tcPr>
            <w:tcW w:w="632"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lang w:val="en-US" w:eastAsia="zh-CN"/>
              </w:rPr>
              <w:t>0</w:t>
            </w:r>
          </w:p>
        </w:tc>
        <w:tc>
          <w:tcPr>
            <w:tcW w:w="821"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lang w:val="en-US" w:eastAsia="zh-CN"/>
              </w:rPr>
              <w:t>0</w:t>
            </w:r>
          </w:p>
        </w:tc>
        <w:tc>
          <w:tcPr>
            <w:tcW w:w="1335"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lang w:val="en-US" w:eastAsia="zh-CN"/>
              </w:rPr>
              <w:t>0</w:t>
            </w:r>
          </w:p>
        </w:tc>
      </w:tr>
      <w:tr>
        <w:tblPrEx>
          <w:tblLayout w:type="fixed"/>
          <w:tblCellMar>
            <w:top w:w="0" w:type="dxa"/>
            <w:left w:w="108" w:type="dxa"/>
            <w:bottom w:w="0" w:type="dxa"/>
            <w:right w:w="108" w:type="dxa"/>
          </w:tblCellMar>
        </w:tblPrEx>
        <w:trPr>
          <w:trHeight w:val="266" w:hRule="atLeast"/>
          <w:jc w:val="center"/>
        </w:trPr>
        <w:tc>
          <w:tcPr>
            <w:tcW w:w="1014" w:type="dxa"/>
            <w:vMerge w:val="continue"/>
            <w:tcBorders>
              <w:top w:val="nil"/>
              <w:left w:val="single" w:color="auto" w:sz="4" w:space="0"/>
              <w:bottom w:val="single" w:color="000000"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913"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ind w:firstLine="630" w:firstLineChars="300"/>
              <w:jc w:val="center"/>
              <w:rPr>
                <w:rFonts w:hint="eastAsia" w:ascii="仿宋" w:hAnsi="仿宋" w:eastAsia="仿宋" w:cs="仿宋"/>
                <w:color w:val="auto"/>
              </w:rPr>
            </w:pPr>
            <w:r>
              <w:rPr>
                <w:rFonts w:hint="eastAsia" w:ascii="仿宋" w:hAnsi="仿宋" w:eastAsia="仿宋" w:cs="仿宋"/>
                <w:color w:val="auto"/>
              </w:rPr>
              <w:t>其他资金</w:t>
            </w:r>
          </w:p>
        </w:tc>
        <w:tc>
          <w:tcPr>
            <w:tcW w:w="1171"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lang w:val="en-US" w:eastAsia="zh-CN"/>
              </w:rPr>
              <w:t>0</w:t>
            </w:r>
          </w:p>
        </w:tc>
        <w:tc>
          <w:tcPr>
            <w:tcW w:w="1169"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lang w:val="en-US" w:eastAsia="zh-CN"/>
              </w:rPr>
              <w:t>0</w:t>
            </w:r>
          </w:p>
        </w:tc>
        <w:tc>
          <w:tcPr>
            <w:tcW w:w="1205"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lang w:val="en-US" w:eastAsia="zh-CN"/>
              </w:rPr>
              <w:t>0</w:t>
            </w:r>
          </w:p>
        </w:tc>
        <w:tc>
          <w:tcPr>
            <w:tcW w:w="632"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lang w:val="en-US" w:eastAsia="zh-CN"/>
              </w:rPr>
              <w:t>0</w:t>
            </w:r>
          </w:p>
        </w:tc>
        <w:tc>
          <w:tcPr>
            <w:tcW w:w="821"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lang w:val="en-US" w:eastAsia="zh-CN"/>
              </w:rPr>
              <w:t>0</w:t>
            </w:r>
          </w:p>
        </w:tc>
        <w:tc>
          <w:tcPr>
            <w:tcW w:w="1335"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lang w:val="en-US" w:eastAsia="zh-CN"/>
              </w:rPr>
              <w:t>0</w:t>
            </w:r>
          </w:p>
        </w:tc>
      </w:tr>
      <w:tr>
        <w:tblPrEx>
          <w:tblLayout w:type="fixed"/>
          <w:tblCellMar>
            <w:top w:w="0" w:type="dxa"/>
            <w:left w:w="108" w:type="dxa"/>
            <w:bottom w:w="0" w:type="dxa"/>
            <w:right w:w="108" w:type="dxa"/>
          </w:tblCellMar>
        </w:tblPrEx>
        <w:trPr>
          <w:trHeight w:val="266" w:hRule="atLeast"/>
          <w:jc w:val="center"/>
        </w:trPr>
        <w:tc>
          <w:tcPr>
            <w:tcW w:w="1014" w:type="dxa"/>
            <w:vMerge w:val="restart"/>
            <w:tcBorders>
              <w:top w:val="nil"/>
              <w:left w:val="single" w:color="auto" w:sz="4" w:space="0"/>
              <w:bottom w:val="single" w:color="000000"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年度总体目标</w:t>
            </w:r>
          </w:p>
        </w:tc>
        <w:tc>
          <w:tcPr>
            <w:tcW w:w="4253" w:type="dxa"/>
            <w:gridSpan w:val="4"/>
            <w:tcBorders>
              <w:top w:val="single" w:color="auto" w:sz="4" w:space="0"/>
              <w:left w:val="nil"/>
              <w:bottom w:val="single" w:color="auto" w:sz="4" w:space="0"/>
              <w:right w:val="single" w:color="000000"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预期目标</w:t>
            </w:r>
          </w:p>
        </w:tc>
        <w:tc>
          <w:tcPr>
            <w:tcW w:w="3993" w:type="dxa"/>
            <w:gridSpan w:val="6"/>
            <w:tcBorders>
              <w:top w:val="single" w:color="auto" w:sz="4" w:space="0"/>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实际完成情况</w:t>
            </w:r>
          </w:p>
        </w:tc>
      </w:tr>
      <w:tr>
        <w:tblPrEx>
          <w:tblLayout w:type="fixed"/>
          <w:tblCellMar>
            <w:top w:w="0" w:type="dxa"/>
            <w:left w:w="108" w:type="dxa"/>
            <w:bottom w:w="0" w:type="dxa"/>
            <w:right w:w="108" w:type="dxa"/>
          </w:tblCellMar>
        </w:tblPrEx>
        <w:trPr>
          <w:trHeight w:val="266" w:hRule="atLeast"/>
          <w:jc w:val="center"/>
        </w:trPr>
        <w:tc>
          <w:tcPr>
            <w:tcW w:w="1014" w:type="dxa"/>
            <w:vMerge w:val="continue"/>
            <w:tcBorders>
              <w:top w:val="nil"/>
              <w:left w:val="single" w:color="auto" w:sz="4" w:space="0"/>
              <w:bottom w:val="single" w:color="000000"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4253" w:type="dxa"/>
            <w:gridSpan w:val="4"/>
            <w:tcBorders>
              <w:top w:val="single" w:color="auto" w:sz="4" w:space="0"/>
              <w:left w:val="nil"/>
              <w:bottom w:val="single" w:color="auto" w:sz="4" w:space="0"/>
              <w:right w:val="single" w:color="000000"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135.01</w:t>
            </w:r>
          </w:p>
        </w:tc>
        <w:tc>
          <w:tcPr>
            <w:tcW w:w="3993" w:type="dxa"/>
            <w:gridSpan w:val="6"/>
            <w:tcBorders>
              <w:top w:val="single" w:color="auto" w:sz="4" w:space="0"/>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37.54</w:t>
            </w:r>
          </w:p>
        </w:tc>
      </w:tr>
      <w:tr>
        <w:tblPrEx>
          <w:tblLayout w:type="fixed"/>
          <w:tblCellMar>
            <w:top w:w="0" w:type="dxa"/>
            <w:left w:w="108" w:type="dxa"/>
            <w:bottom w:w="0" w:type="dxa"/>
            <w:right w:w="108" w:type="dxa"/>
          </w:tblCellMar>
        </w:tblPrEx>
        <w:trPr>
          <w:trHeight w:val="439" w:hRule="atLeast"/>
          <w:jc w:val="center"/>
        </w:trPr>
        <w:tc>
          <w:tcPr>
            <w:tcW w:w="1014" w:type="dxa"/>
            <w:vMerge w:val="restart"/>
            <w:tcBorders>
              <w:top w:val="nil"/>
              <w:left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绩</w:t>
            </w:r>
          </w:p>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效</w:t>
            </w:r>
          </w:p>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指</w:t>
            </w:r>
          </w:p>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标</w:t>
            </w:r>
          </w:p>
        </w:tc>
        <w:tc>
          <w:tcPr>
            <w:tcW w:w="1015"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一级指标</w:t>
            </w:r>
          </w:p>
        </w:tc>
        <w:tc>
          <w:tcPr>
            <w:tcW w:w="898"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二级指标</w:t>
            </w:r>
          </w:p>
        </w:tc>
        <w:tc>
          <w:tcPr>
            <w:tcW w:w="1171"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三级指标</w:t>
            </w:r>
          </w:p>
        </w:tc>
        <w:tc>
          <w:tcPr>
            <w:tcW w:w="1169"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年度</w:t>
            </w:r>
          </w:p>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指标值</w:t>
            </w:r>
          </w:p>
        </w:tc>
        <w:tc>
          <w:tcPr>
            <w:tcW w:w="1204"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实际</w:t>
            </w:r>
          </w:p>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完成值</w:t>
            </w:r>
          </w:p>
        </w:tc>
        <w:tc>
          <w:tcPr>
            <w:tcW w:w="633"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分值</w:t>
            </w:r>
          </w:p>
        </w:tc>
        <w:tc>
          <w:tcPr>
            <w:tcW w:w="820"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自评</w:t>
            </w:r>
          </w:p>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得分</w:t>
            </w:r>
          </w:p>
        </w:tc>
        <w:tc>
          <w:tcPr>
            <w:tcW w:w="1336"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偏差原因分析及改进措施</w:t>
            </w:r>
          </w:p>
        </w:tc>
      </w:tr>
      <w:tr>
        <w:tblPrEx>
          <w:tblLayout w:type="fixed"/>
          <w:tblCellMar>
            <w:top w:w="0" w:type="dxa"/>
            <w:left w:w="108" w:type="dxa"/>
            <w:bottom w:w="0" w:type="dxa"/>
            <w:right w:w="108" w:type="dxa"/>
          </w:tblCellMar>
        </w:tblPrEx>
        <w:trPr>
          <w:trHeight w:val="266" w:hRule="atLeast"/>
          <w:jc w:val="center"/>
        </w:trPr>
        <w:tc>
          <w:tcPr>
            <w:tcW w:w="1014" w:type="dxa"/>
            <w:vMerge w:val="continue"/>
            <w:tcBorders>
              <w:left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015" w:type="dxa"/>
            <w:vMerge w:val="restart"/>
            <w:tcBorders>
              <w:top w:val="nil"/>
              <w:left w:val="nil"/>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产出指标</w:t>
            </w:r>
          </w:p>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（50分）</w:t>
            </w:r>
          </w:p>
        </w:tc>
        <w:tc>
          <w:tcPr>
            <w:tcW w:w="898" w:type="dxa"/>
            <w:vMerge w:val="restart"/>
            <w:tcBorders>
              <w:top w:val="nil"/>
              <w:left w:val="nil"/>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数量指标</w:t>
            </w:r>
          </w:p>
        </w:tc>
        <w:tc>
          <w:tcPr>
            <w:tcW w:w="1171"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lang w:eastAsia="zh-CN"/>
              </w:rPr>
            </w:pPr>
            <w:r>
              <w:rPr>
                <w:rFonts w:hint="eastAsia" w:ascii="仿宋" w:hAnsi="仿宋" w:eastAsia="仿宋" w:cs="仿宋"/>
                <w:color w:val="auto"/>
                <w:lang w:eastAsia="zh-CN"/>
              </w:rPr>
              <w:t>补发在职、离退休人员</w:t>
            </w:r>
            <w:r>
              <w:rPr>
                <w:rFonts w:hint="eastAsia" w:ascii="仿宋" w:hAnsi="仿宋" w:eastAsia="仿宋" w:cs="仿宋"/>
                <w:color w:val="auto"/>
                <w:lang w:val="en-US" w:eastAsia="zh-CN"/>
              </w:rPr>
              <w:t>2023年度绩效工资</w:t>
            </w:r>
          </w:p>
        </w:tc>
        <w:tc>
          <w:tcPr>
            <w:tcW w:w="1169"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kern w:val="0"/>
                <w:sz w:val="18"/>
                <w:szCs w:val="18"/>
              </w:rPr>
              <w:t>≥</w:t>
            </w:r>
            <w:r>
              <w:rPr>
                <w:rFonts w:hint="eastAsia" w:ascii="仿宋" w:hAnsi="仿宋" w:eastAsia="仿宋" w:cs="仿宋"/>
                <w:color w:val="auto"/>
                <w:kern w:val="0"/>
                <w:sz w:val="18"/>
                <w:szCs w:val="18"/>
                <w:lang w:val="en-US" w:eastAsia="zh-CN"/>
              </w:rPr>
              <w:t>12个月/52人</w:t>
            </w:r>
          </w:p>
        </w:tc>
        <w:tc>
          <w:tcPr>
            <w:tcW w:w="1204"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both"/>
              <w:rPr>
                <w:rFonts w:hint="eastAsia" w:ascii="仿宋" w:hAnsi="仿宋" w:eastAsia="仿宋" w:cs="仿宋"/>
                <w:color w:val="auto"/>
              </w:rPr>
            </w:pPr>
            <w:r>
              <w:rPr>
                <w:rFonts w:hint="eastAsia" w:ascii="仿宋" w:hAnsi="仿宋" w:eastAsia="仿宋" w:cs="仿宋"/>
                <w:color w:val="auto"/>
                <w:kern w:val="0"/>
                <w:sz w:val="18"/>
                <w:szCs w:val="18"/>
                <w:lang w:val="en-US" w:eastAsia="zh-CN"/>
              </w:rPr>
              <w:t>12个月/52人</w:t>
            </w:r>
          </w:p>
        </w:tc>
        <w:tc>
          <w:tcPr>
            <w:tcW w:w="633"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15</w:t>
            </w:r>
          </w:p>
        </w:tc>
        <w:tc>
          <w:tcPr>
            <w:tcW w:w="820"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15</w:t>
            </w:r>
          </w:p>
        </w:tc>
        <w:tc>
          <w:tcPr>
            <w:tcW w:w="1336"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r>
      <w:tr>
        <w:tblPrEx>
          <w:tblLayout w:type="fixed"/>
          <w:tblCellMar>
            <w:top w:w="0" w:type="dxa"/>
            <w:left w:w="108" w:type="dxa"/>
            <w:bottom w:w="0" w:type="dxa"/>
            <w:right w:w="108" w:type="dxa"/>
          </w:tblCellMar>
        </w:tblPrEx>
        <w:trPr>
          <w:trHeight w:val="266" w:hRule="atLeast"/>
          <w:jc w:val="center"/>
        </w:trPr>
        <w:tc>
          <w:tcPr>
            <w:tcW w:w="1014" w:type="dxa"/>
            <w:vMerge w:val="continue"/>
            <w:tcBorders>
              <w:left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015" w:type="dxa"/>
            <w:vMerge w:val="continue"/>
            <w:tcBorders>
              <w:left w:val="nil"/>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898" w:type="dxa"/>
            <w:vMerge w:val="continue"/>
            <w:tcBorders>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171"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w:t>
            </w:r>
          </w:p>
        </w:tc>
        <w:tc>
          <w:tcPr>
            <w:tcW w:w="1169"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204"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633"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820"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336"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r>
      <w:tr>
        <w:tblPrEx>
          <w:tblLayout w:type="fixed"/>
          <w:tblCellMar>
            <w:top w:w="0" w:type="dxa"/>
            <w:left w:w="108" w:type="dxa"/>
            <w:bottom w:w="0" w:type="dxa"/>
            <w:right w:w="108" w:type="dxa"/>
          </w:tblCellMar>
        </w:tblPrEx>
        <w:trPr>
          <w:trHeight w:val="266" w:hRule="atLeast"/>
          <w:jc w:val="center"/>
        </w:trPr>
        <w:tc>
          <w:tcPr>
            <w:tcW w:w="1014" w:type="dxa"/>
            <w:vMerge w:val="continue"/>
            <w:tcBorders>
              <w:left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015" w:type="dxa"/>
            <w:vMerge w:val="continue"/>
            <w:tcBorders>
              <w:left w:val="nil"/>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898" w:type="dxa"/>
            <w:vMerge w:val="restart"/>
            <w:tcBorders>
              <w:top w:val="nil"/>
              <w:left w:val="nil"/>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质量指标</w:t>
            </w:r>
          </w:p>
        </w:tc>
        <w:tc>
          <w:tcPr>
            <w:tcW w:w="1171"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lang w:eastAsia="zh-CN"/>
              </w:rPr>
              <w:t>补发在职、离退休人员</w:t>
            </w:r>
            <w:r>
              <w:rPr>
                <w:rFonts w:hint="eastAsia" w:ascii="仿宋" w:hAnsi="仿宋" w:eastAsia="仿宋" w:cs="仿宋"/>
                <w:color w:val="auto"/>
                <w:lang w:val="en-US" w:eastAsia="zh-CN"/>
              </w:rPr>
              <w:t>2023年度绩效工资完成率</w:t>
            </w:r>
          </w:p>
        </w:tc>
        <w:tc>
          <w:tcPr>
            <w:tcW w:w="1169" w:type="dxa"/>
            <w:tcBorders>
              <w:top w:val="nil"/>
              <w:left w:val="nil"/>
              <w:bottom w:val="single" w:color="auto" w:sz="4" w:space="0"/>
              <w:right w:val="single" w:color="auto" w:sz="4" w:space="0"/>
            </w:tcBorders>
            <w:tcMar>
              <w:left w:w="0" w:type="dxa"/>
              <w:right w:w="0" w:type="dxa"/>
            </w:tcMar>
            <w:vAlign w:val="center"/>
          </w:tcPr>
          <w:p>
            <w:pPr>
              <w:jc w:val="center"/>
              <w:rPr>
                <w:rFonts w:hint="eastAsia" w:ascii="仿宋" w:hAnsi="仿宋" w:eastAsia="仿宋" w:cs="仿宋"/>
                <w:color w:val="auto"/>
              </w:rPr>
            </w:pPr>
            <w:r>
              <w:rPr>
                <w:rFonts w:hint="eastAsia" w:ascii="Times New Roman" w:hAnsi="Times New Roman" w:eastAsia="仿宋_GB2312" w:cs="Times New Roman"/>
                <w:color w:val="auto"/>
                <w:sz w:val="20"/>
                <w:szCs w:val="20"/>
                <w:lang w:val="en-US" w:eastAsia="zh-CN"/>
              </w:rPr>
              <w:t>100%</w:t>
            </w:r>
          </w:p>
        </w:tc>
        <w:tc>
          <w:tcPr>
            <w:tcW w:w="1204" w:type="dxa"/>
            <w:tcBorders>
              <w:top w:val="nil"/>
              <w:left w:val="nil"/>
              <w:bottom w:val="single" w:color="auto" w:sz="4" w:space="0"/>
              <w:right w:val="single" w:color="auto" w:sz="4" w:space="0"/>
            </w:tcBorders>
            <w:tcMar>
              <w:left w:w="0" w:type="dxa"/>
              <w:right w:w="0" w:type="dxa"/>
            </w:tcMar>
            <w:vAlign w:val="center"/>
          </w:tcPr>
          <w:p>
            <w:pPr>
              <w:jc w:val="center"/>
              <w:rPr>
                <w:rFonts w:hint="eastAsia" w:ascii="仿宋" w:hAnsi="仿宋" w:eastAsia="仿宋" w:cs="仿宋"/>
                <w:color w:val="auto"/>
              </w:rPr>
            </w:pPr>
            <w:r>
              <w:rPr>
                <w:rFonts w:hint="eastAsia" w:ascii="Times New Roman" w:hAnsi="Times New Roman" w:eastAsia="仿宋_GB2312" w:cs="Times New Roman"/>
                <w:color w:val="auto"/>
                <w:sz w:val="20"/>
                <w:szCs w:val="20"/>
                <w:lang w:val="en-US" w:eastAsia="zh-CN"/>
              </w:rPr>
              <w:t>100%</w:t>
            </w:r>
          </w:p>
        </w:tc>
        <w:tc>
          <w:tcPr>
            <w:tcW w:w="633" w:type="dxa"/>
            <w:gridSpan w:val="2"/>
            <w:tcBorders>
              <w:top w:val="nil"/>
              <w:left w:val="nil"/>
              <w:bottom w:val="single" w:color="auto" w:sz="4" w:space="0"/>
              <w:right w:val="single" w:color="auto" w:sz="4" w:space="0"/>
            </w:tcBorders>
            <w:tcMar>
              <w:left w:w="0" w:type="dxa"/>
              <w:right w:w="0" w:type="dxa"/>
            </w:tcMar>
            <w:vAlign w:val="center"/>
          </w:tcPr>
          <w:p>
            <w:pPr>
              <w:jc w:val="center"/>
              <w:rPr>
                <w:rFonts w:hint="eastAsia" w:ascii="仿宋" w:hAnsi="仿宋" w:eastAsia="仿宋" w:cs="仿宋"/>
                <w:color w:val="auto"/>
              </w:rPr>
            </w:pPr>
            <w:r>
              <w:rPr>
                <w:rFonts w:hint="eastAsia" w:ascii="Times New Roman" w:hAnsi="Times New Roman" w:eastAsia="仿宋_GB2312" w:cs="Times New Roman"/>
                <w:color w:val="auto"/>
                <w:sz w:val="20"/>
                <w:szCs w:val="20"/>
                <w:lang w:val="en-US" w:eastAsia="zh-CN"/>
              </w:rPr>
              <w:t>10</w:t>
            </w:r>
          </w:p>
        </w:tc>
        <w:tc>
          <w:tcPr>
            <w:tcW w:w="820" w:type="dxa"/>
            <w:tcBorders>
              <w:top w:val="nil"/>
              <w:left w:val="nil"/>
              <w:bottom w:val="single" w:color="auto" w:sz="4" w:space="0"/>
              <w:right w:val="single" w:color="auto" w:sz="4" w:space="0"/>
            </w:tcBorders>
            <w:tcMar>
              <w:left w:w="0" w:type="dxa"/>
              <w:right w:w="0" w:type="dxa"/>
            </w:tcMar>
            <w:vAlign w:val="center"/>
          </w:tcPr>
          <w:p>
            <w:pPr>
              <w:jc w:val="center"/>
              <w:rPr>
                <w:rFonts w:hint="eastAsia" w:ascii="仿宋" w:hAnsi="仿宋" w:eastAsia="仿宋" w:cs="仿宋"/>
                <w:color w:val="auto"/>
              </w:rPr>
            </w:pPr>
            <w:r>
              <w:rPr>
                <w:rFonts w:hint="eastAsia" w:ascii="Times New Roman" w:hAnsi="Times New Roman" w:eastAsia="仿宋_GB2312" w:cs="Times New Roman"/>
                <w:color w:val="auto"/>
                <w:sz w:val="20"/>
                <w:szCs w:val="20"/>
                <w:lang w:val="en-US" w:eastAsia="zh-CN"/>
              </w:rPr>
              <w:t>10</w:t>
            </w:r>
          </w:p>
        </w:tc>
        <w:tc>
          <w:tcPr>
            <w:tcW w:w="1336"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r>
      <w:tr>
        <w:tblPrEx>
          <w:tblLayout w:type="fixed"/>
          <w:tblCellMar>
            <w:top w:w="0" w:type="dxa"/>
            <w:left w:w="108" w:type="dxa"/>
            <w:bottom w:w="0" w:type="dxa"/>
            <w:right w:w="108" w:type="dxa"/>
          </w:tblCellMar>
        </w:tblPrEx>
        <w:trPr>
          <w:trHeight w:val="266" w:hRule="atLeast"/>
          <w:jc w:val="center"/>
        </w:trPr>
        <w:tc>
          <w:tcPr>
            <w:tcW w:w="1014" w:type="dxa"/>
            <w:vMerge w:val="continue"/>
            <w:tcBorders>
              <w:left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015" w:type="dxa"/>
            <w:vMerge w:val="continue"/>
            <w:tcBorders>
              <w:left w:val="nil"/>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898" w:type="dxa"/>
            <w:vMerge w:val="continue"/>
            <w:tcBorders>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171"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w:t>
            </w:r>
          </w:p>
        </w:tc>
        <w:tc>
          <w:tcPr>
            <w:tcW w:w="1169"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204"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633"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820"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336"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r>
      <w:tr>
        <w:tblPrEx>
          <w:tblLayout w:type="fixed"/>
          <w:tblCellMar>
            <w:top w:w="0" w:type="dxa"/>
            <w:left w:w="108" w:type="dxa"/>
            <w:bottom w:w="0" w:type="dxa"/>
            <w:right w:w="108" w:type="dxa"/>
          </w:tblCellMar>
        </w:tblPrEx>
        <w:trPr>
          <w:trHeight w:val="266" w:hRule="atLeast"/>
          <w:jc w:val="center"/>
        </w:trPr>
        <w:tc>
          <w:tcPr>
            <w:tcW w:w="1014" w:type="dxa"/>
            <w:vMerge w:val="continue"/>
            <w:tcBorders>
              <w:left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015" w:type="dxa"/>
            <w:vMerge w:val="continue"/>
            <w:tcBorders>
              <w:left w:val="nil"/>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898" w:type="dxa"/>
            <w:vMerge w:val="restart"/>
            <w:tcBorders>
              <w:top w:val="nil"/>
              <w:left w:val="nil"/>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时效指标</w:t>
            </w:r>
          </w:p>
        </w:tc>
        <w:tc>
          <w:tcPr>
            <w:tcW w:w="1171"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lang w:eastAsia="zh-CN"/>
              </w:rPr>
              <w:t>补发在职、离退休人员</w:t>
            </w:r>
            <w:r>
              <w:rPr>
                <w:rFonts w:hint="eastAsia" w:ascii="仿宋" w:hAnsi="仿宋" w:eastAsia="仿宋" w:cs="仿宋"/>
                <w:color w:val="auto"/>
                <w:lang w:val="en-US" w:eastAsia="zh-CN"/>
              </w:rPr>
              <w:t>2023年度绩效工资完成时间</w:t>
            </w:r>
          </w:p>
        </w:tc>
        <w:tc>
          <w:tcPr>
            <w:tcW w:w="1169" w:type="dxa"/>
            <w:tcBorders>
              <w:top w:val="nil"/>
              <w:left w:val="nil"/>
              <w:bottom w:val="single" w:color="auto" w:sz="4" w:space="0"/>
              <w:right w:val="single" w:color="auto" w:sz="4" w:space="0"/>
            </w:tcBorders>
            <w:tcMar>
              <w:left w:w="0" w:type="dxa"/>
              <w:right w:w="0" w:type="dxa"/>
            </w:tcMar>
            <w:vAlign w:val="center"/>
          </w:tcPr>
          <w:p>
            <w:pPr>
              <w:widowControl/>
              <w:spacing w:line="240" w:lineRule="exact"/>
              <w:jc w:val="center"/>
              <w:rPr>
                <w:rFonts w:hint="eastAsia" w:ascii="仿宋" w:hAnsi="仿宋" w:eastAsia="仿宋" w:cs="仿宋"/>
                <w:color w:val="auto"/>
              </w:rPr>
            </w:pPr>
            <w:r>
              <w:rPr>
                <w:rFonts w:hint="eastAsia" w:ascii="仿宋" w:hAnsi="仿宋" w:eastAsia="仿宋" w:cs="仿宋"/>
                <w:color w:val="auto"/>
                <w:kern w:val="0"/>
                <w:sz w:val="18"/>
                <w:szCs w:val="18"/>
              </w:rPr>
              <w:t>202</w:t>
            </w:r>
            <w:r>
              <w:rPr>
                <w:rFonts w:hint="eastAsia" w:ascii="仿宋" w:hAnsi="仿宋" w:eastAsia="仿宋" w:cs="仿宋"/>
                <w:color w:val="auto"/>
                <w:kern w:val="0"/>
                <w:sz w:val="18"/>
                <w:szCs w:val="18"/>
                <w:lang w:val="en-US" w:eastAsia="zh-CN"/>
              </w:rPr>
              <w:t>3</w:t>
            </w:r>
            <w:r>
              <w:rPr>
                <w:rFonts w:hint="eastAsia" w:ascii="仿宋" w:hAnsi="仿宋" w:eastAsia="仿宋" w:cs="仿宋"/>
                <w:color w:val="auto"/>
                <w:kern w:val="0"/>
                <w:sz w:val="18"/>
                <w:szCs w:val="18"/>
              </w:rPr>
              <w:t>年12月31日前</w:t>
            </w:r>
          </w:p>
        </w:tc>
        <w:tc>
          <w:tcPr>
            <w:tcW w:w="1204" w:type="dxa"/>
            <w:tcBorders>
              <w:top w:val="nil"/>
              <w:left w:val="nil"/>
              <w:bottom w:val="single" w:color="auto" w:sz="4" w:space="0"/>
              <w:right w:val="single" w:color="auto" w:sz="4" w:space="0"/>
            </w:tcBorders>
            <w:tcMar>
              <w:left w:w="0" w:type="dxa"/>
              <w:right w:w="0" w:type="dxa"/>
            </w:tcMar>
            <w:vAlign w:val="center"/>
          </w:tcPr>
          <w:p>
            <w:pPr>
              <w:widowControl/>
              <w:spacing w:line="240" w:lineRule="exact"/>
              <w:jc w:val="center"/>
              <w:rPr>
                <w:rFonts w:hint="eastAsia" w:ascii="仿宋" w:hAnsi="仿宋" w:eastAsia="仿宋" w:cs="仿宋"/>
                <w:color w:val="auto"/>
              </w:rPr>
            </w:pPr>
            <w:r>
              <w:rPr>
                <w:rFonts w:hint="eastAsia" w:ascii="仿宋" w:hAnsi="仿宋" w:eastAsia="仿宋" w:cs="仿宋"/>
                <w:color w:val="auto"/>
                <w:kern w:val="0"/>
                <w:sz w:val="18"/>
                <w:szCs w:val="18"/>
              </w:rPr>
              <w:t>202</w:t>
            </w:r>
            <w:r>
              <w:rPr>
                <w:rFonts w:hint="eastAsia" w:ascii="仿宋" w:hAnsi="仿宋" w:eastAsia="仿宋" w:cs="仿宋"/>
                <w:color w:val="auto"/>
                <w:kern w:val="0"/>
                <w:sz w:val="18"/>
                <w:szCs w:val="18"/>
                <w:lang w:val="en-US" w:eastAsia="zh-CN"/>
              </w:rPr>
              <w:t>3</w:t>
            </w:r>
            <w:r>
              <w:rPr>
                <w:rFonts w:hint="eastAsia" w:ascii="仿宋" w:hAnsi="仿宋" w:eastAsia="仿宋" w:cs="仿宋"/>
                <w:color w:val="auto"/>
                <w:kern w:val="0"/>
                <w:sz w:val="18"/>
                <w:szCs w:val="18"/>
              </w:rPr>
              <w:t>年12月31日前</w:t>
            </w:r>
          </w:p>
        </w:tc>
        <w:tc>
          <w:tcPr>
            <w:tcW w:w="633" w:type="dxa"/>
            <w:gridSpan w:val="2"/>
            <w:tcBorders>
              <w:top w:val="nil"/>
              <w:left w:val="nil"/>
              <w:bottom w:val="single" w:color="auto" w:sz="4" w:space="0"/>
              <w:right w:val="single" w:color="auto" w:sz="4" w:space="0"/>
            </w:tcBorders>
            <w:tcMar>
              <w:left w:w="0" w:type="dxa"/>
              <w:right w:w="0" w:type="dxa"/>
            </w:tcMar>
            <w:vAlign w:val="center"/>
          </w:tcPr>
          <w:p>
            <w:pPr>
              <w:widowControl/>
              <w:spacing w:line="240" w:lineRule="exact"/>
              <w:jc w:val="center"/>
              <w:rPr>
                <w:rFonts w:hint="eastAsia" w:ascii="仿宋" w:hAnsi="仿宋" w:eastAsia="仿宋" w:cs="仿宋"/>
                <w:color w:val="auto"/>
              </w:rPr>
            </w:pPr>
            <w:r>
              <w:rPr>
                <w:rFonts w:hint="eastAsia" w:ascii="仿宋" w:hAnsi="仿宋" w:eastAsia="仿宋" w:cs="仿宋"/>
                <w:color w:val="auto"/>
                <w:kern w:val="0"/>
                <w:sz w:val="18"/>
                <w:szCs w:val="18"/>
                <w:lang w:val="en-US" w:eastAsia="zh-CN"/>
              </w:rPr>
              <w:t>10</w:t>
            </w:r>
          </w:p>
        </w:tc>
        <w:tc>
          <w:tcPr>
            <w:tcW w:w="820" w:type="dxa"/>
            <w:tcBorders>
              <w:top w:val="nil"/>
              <w:left w:val="nil"/>
              <w:bottom w:val="single" w:color="auto" w:sz="4" w:space="0"/>
              <w:right w:val="single" w:color="auto" w:sz="4" w:space="0"/>
            </w:tcBorders>
            <w:tcMar>
              <w:left w:w="0" w:type="dxa"/>
              <w:right w:w="0" w:type="dxa"/>
            </w:tcMar>
            <w:vAlign w:val="center"/>
          </w:tcPr>
          <w:p>
            <w:pPr>
              <w:widowControl/>
              <w:spacing w:line="240" w:lineRule="exact"/>
              <w:jc w:val="center"/>
              <w:rPr>
                <w:rFonts w:hint="eastAsia" w:ascii="仿宋" w:hAnsi="仿宋" w:eastAsia="仿宋" w:cs="仿宋"/>
                <w:color w:val="auto"/>
              </w:rPr>
            </w:pPr>
            <w:r>
              <w:rPr>
                <w:rFonts w:hint="eastAsia" w:ascii="仿宋" w:hAnsi="仿宋" w:eastAsia="仿宋" w:cs="仿宋"/>
                <w:color w:val="auto"/>
                <w:kern w:val="0"/>
                <w:sz w:val="18"/>
                <w:szCs w:val="18"/>
                <w:lang w:val="en-US" w:eastAsia="zh-CN"/>
              </w:rPr>
              <w:t>10</w:t>
            </w:r>
          </w:p>
        </w:tc>
        <w:tc>
          <w:tcPr>
            <w:tcW w:w="1336"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r>
      <w:tr>
        <w:tblPrEx>
          <w:tblLayout w:type="fixed"/>
          <w:tblCellMar>
            <w:top w:w="0" w:type="dxa"/>
            <w:left w:w="108" w:type="dxa"/>
            <w:bottom w:w="0" w:type="dxa"/>
            <w:right w:w="108" w:type="dxa"/>
          </w:tblCellMar>
        </w:tblPrEx>
        <w:trPr>
          <w:trHeight w:val="266" w:hRule="atLeast"/>
          <w:jc w:val="center"/>
        </w:trPr>
        <w:tc>
          <w:tcPr>
            <w:tcW w:w="1014" w:type="dxa"/>
            <w:vMerge w:val="continue"/>
            <w:tcBorders>
              <w:left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015" w:type="dxa"/>
            <w:vMerge w:val="continue"/>
            <w:tcBorders>
              <w:left w:val="nil"/>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898" w:type="dxa"/>
            <w:vMerge w:val="continue"/>
            <w:tcBorders>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171"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w:t>
            </w:r>
          </w:p>
        </w:tc>
        <w:tc>
          <w:tcPr>
            <w:tcW w:w="1169"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204"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633"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820"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336"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r>
      <w:tr>
        <w:tblPrEx>
          <w:tblLayout w:type="fixed"/>
          <w:tblCellMar>
            <w:top w:w="0" w:type="dxa"/>
            <w:left w:w="108" w:type="dxa"/>
            <w:bottom w:w="0" w:type="dxa"/>
            <w:right w:w="108" w:type="dxa"/>
          </w:tblCellMar>
        </w:tblPrEx>
        <w:trPr>
          <w:trHeight w:val="266" w:hRule="atLeast"/>
          <w:jc w:val="center"/>
        </w:trPr>
        <w:tc>
          <w:tcPr>
            <w:tcW w:w="1014" w:type="dxa"/>
            <w:vMerge w:val="continue"/>
            <w:tcBorders>
              <w:left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015" w:type="dxa"/>
            <w:vMerge w:val="continue"/>
            <w:tcBorders>
              <w:left w:val="nil"/>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898" w:type="dxa"/>
            <w:vMerge w:val="restart"/>
            <w:tcBorders>
              <w:top w:val="nil"/>
              <w:left w:val="nil"/>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成本指标</w:t>
            </w:r>
          </w:p>
        </w:tc>
        <w:tc>
          <w:tcPr>
            <w:tcW w:w="1171"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lang w:eastAsia="zh-CN"/>
              </w:rPr>
              <w:t>补发在职、离退休人员</w:t>
            </w:r>
            <w:r>
              <w:rPr>
                <w:rFonts w:hint="eastAsia" w:ascii="仿宋" w:hAnsi="仿宋" w:eastAsia="仿宋" w:cs="仿宋"/>
                <w:color w:val="auto"/>
                <w:lang w:val="en-US" w:eastAsia="zh-CN"/>
              </w:rPr>
              <w:t>2023年度绩效工资补发数</w:t>
            </w:r>
          </w:p>
        </w:tc>
        <w:tc>
          <w:tcPr>
            <w:tcW w:w="1169"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kern w:val="0"/>
                <w:sz w:val="18"/>
                <w:szCs w:val="18"/>
                <w:lang w:val="en-US" w:eastAsia="zh-CN"/>
              </w:rPr>
              <w:t>≤135.01万元</w:t>
            </w:r>
          </w:p>
        </w:tc>
        <w:tc>
          <w:tcPr>
            <w:tcW w:w="1204"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kern w:val="0"/>
                <w:sz w:val="18"/>
                <w:szCs w:val="18"/>
                <w:lang w:val="en-US" w:eastAsia="zh-CN"/>
              </w:rPr>
              <w:t>37.54万元</w:t>
            </w:r>
          </w:p>
        </w:tc>
        <w:tc>
          <w:tcPr>
            <w:tcW w:w="633"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10</w:t>
            </w:r>
          </w:p>
        </w:tc>
        <w:tc>
          <w:tcPr>
            <w:tcW w:w="820"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10</w:t>
            </w:r>
          </w:p>
        </w:tc>
        <w:tc>
          <w:tcPr>
            <w:tcW w:w="1336"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r>
      <w:tr>
        <w:tblPrEx>
          <w:tblLayout w:type="fixed"/>
          <w:tblCellMar>
            <w:top w:w="0" w:type="dxa"/>
            <w:left w:w="108" w:type="dxa"/>
            <w:bottom w:w="0" w:type="dxa"/>
            <w:right w:w="108" w:type="dxa"/>
          </w:tblCellMar>
        </w:tblPrEx>
        <w:trPr>
          <w:trHeight w:val="266" w:hRule="atLeast"/>
          <w:jc w:val="center"/>
        </w:trPr>
        <w:tc>
          <w:tcPr>
            <w:tcW w:w="1014" w:type="dxa"/>
            <w:vMerge w:val="continue"/>
            <w:tcBorders>
              <w:left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015" w:type="dxa"/>
            <w:vMerge w:val="continue"/>
            <w:tcBorders>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898" w:type="dxa"/>
            <w:vMerge w:val="continue"/>
            <w:tcBorders>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171"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w:t>
            </w:r>
          </w:p>
        </w:tc>
        <w:tc>
          <w:tcPr>
            <w:tcW w:w="1169"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204"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633"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820"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336"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r>
      <w:tr>
        <w:tblPrEx>
          <w:tblLayout w:type="fixed"/>
          <w:tblCellMar>
            <w:top w:w="0" w:type="dxa"/>
            <w:left w:w="108" w:type="dxa"/>
            <w:bottom w:w="0" w:type="dxa"/>
            <w:right w:w="108" w:type="dxa"/>
          </w:tblCellMar>
        </w:tblPrEx>
        <w:trPr>
          <w:trHeight w:val="266" w:hRule="atLeast"/>
          <w:jc w:val="center"/>
        </w:trPr>
        <w:tc>
          <w:tcPr>
            <w:tcW w:w="1014" w:type="dxa"/>
            <w:vMerge w:val="continue"/>
            <w:tcBorders>
              <w:left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015" w:type="dxa"/>
            <w:vMerge w:val="continue"/>
            <w:tcBorders>
              <w:left w:val="nil"/>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898" w:type="dxa"/>
            <w:vMerge w:val="restart"/>
            <w:tcBorders>
              <w:top w:val="nil"/>
              <w:left w:val="nil"/>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社会效</w:t>
            </w:r>
          </w:p>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益指标</w:t>
            </w:r>
          </w:p>
        </w:tc>
        <w:tc>
          <w:tcPr>
            <w:tcW w:w="1171"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Times New Roman" w:hAnsi="Times New Roman" w:eastAsia="仿宋_GB2312" w:cs="Times New Roman"/>
                <w:color w:val="auto"/>
                <w:sz w:val="20"/>
                <w:szCs w:val="20"/>
              </w:rPr>
              <w:t>有效提高监测</w:t>
            </w:r>
            <w:r>
              <w:rPr>
                <w:rFonts w:hint="eastAsia" w:ascii="Times New Roman" w:hAnsi="Times New Roman" w:eastAsia="仿宋_GB2312" w:cs="Times New Roman"/>
                <w:color w:val="auto"/>
                <w:sz w:val="20"/>
                <w:szCs w:val="20"/>
                <w:lang w:eastAsia="zh-CN"/>
              </w:rPr>
              <w:t>工作</w:t>
            </w:r>
            <w:r>
              <w:rPr>
                <w:rFonts w:hint="eastAsia" w:ascii="Times New Roman" w:hAnsi="Times New Roman" w:eastAsia="仿宋_GB2312" w:cs="Times New Roman"/>
                <w:color w:val="auto"/>
                <w:sz w:val="20"/>
                <w:szCs w:val="20"/>
              </w:rPr>
              <w:t>效率</w:t>
            </w:r>
          </w:p>
        </w:tc>
        <w:tc>
          <w:tcPr>
            <w:tcW w:w="1169"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lang w:eastAsia="zh-CN"/>
              </w:rPr>
            </w:pPr>
            <w:r>
              <w:rPr>
                <w:rFonts w:hint="eastAsia" w:ascii="仿宋" w:hAnsi="仿宋" w:eastAsia="仿宋" w:cs="仿宋"/>
                <w:color w:val="auto"/>
                <w:lang w:eastAsia="zh-CN"/>
              </w:rPr>
              <w:t>持续保障</w:t>
            </w:r>
          </w:p>
        </w:tc>
        <w:tc>
          <w:tcPr>
            <w:tcW w:w="1204"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lang w:eastAsia="zh-CN"/>
              </w:rPr>
            </w:pPr>
            <w:r>
              <w:rPr>
                <w:rFonts w:hint="eastAsia" w:ascii="仿宋" w:hAnsi="仿宋" w:eastAsia="仿宋" w:cs="仿宋"/>
                <w:color w:val="auto"/>
                <w:lang w:eastAsia="zh-CN"/>
              </w:rPr>
              <w:t>持续保障</w:t>
            </w:r>
          </w:p>
        </w:tc>
        <w:tc>
          <w:tcPr>
            <w:tcW w:w="633"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15</w:t>
            </w:r>
          </w:p>
        </w:tc>
        <w:tc>
          <w:tcPr>
            <w:tcW w:w="820"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15</w:t>
            </w:r>
          </w:p>
        </w:tc>
        <w:tc>
          <w:tcPr>
            <w:tcW w:w="1336"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r>
      <w:tr>
        <w:tblPrEx>
          <w:tblLayout w:type="fixed"/>
          <w:tblCellMar>
            <w:top w:w="0" w:type="dxa"/>
            <w:left w:w="108" w:type="dxa"/>
            <w:bottom w:w="0" w:type="dxa"/>
            <w:right w:w="108" w:type="dxa"/>
          </w:tblCellMar>
        </w:tblPrEx>
        <w:trPr>
          <w:trHeight w:val="266" w:hRule="atLeast"/>
          <w:jc w:val="center"/>
        </w:trPr>
        <w:tc>
          <w:tcPr>
            <w:tcW w:w="1014" w:type="dxa"/>
            <w:vMerge w:val="continue"/>
            <w:tcBorders>
              <w:left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015" w:type="dxa"/>
            <w:vMerge w:val="continue"/>
            <w:tcBorders>
              <w:left w:val="nil"/>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898" w:type="dxa"/>
            <w:vMerge w:val="continue"/>
            <w:tcBorders>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171"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w:t>
            </w:r>
          </w:p>
        </w:tc>
        <w:tc>
          <w:tcPr>
            <w:tcW w:w="1169"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204"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633"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820"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336"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r>
      <w:tr>
        <w:tblPrEx>
          <w:tblLayout w:type="fixed"/>
          <w:tblCellMar>
            <w:top w:w="0" w:type="dxa"/>
            <w:left w:w="108" w:type="dxa"/>
            <w:bottom w:w="0" w:type="dxa"/>
            <w:right w:w="108" w:type="dxa"/>
          </w:tblCellMar>
        </w:tblPrEx>
        <w:trPr>
          <w:trHeight w:val="266" w:hRule="atLeast"/>
          <w:jc w:val="center"/>
        </w:trPr>
        <w:tc>
          <w:tcPr>
            <w:tcW w:w="1014" w:type="dxa"/>
            <w:vMerge w:val="continue"/>
            <w:tcBorders>
              <w:left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015" w:type="dxa"/>
            <w:vMerge w:val="continue"/>
            <w:tcBorders>
              <w:left w:val="nil"/>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898" w:type="dxa"/>
            <w:vMerge w:val="restart"/>
            <w:tcBorders>
              <w:top w:val="single" w:color="auto" w:sz="4" w:space="0"/>
              <w:left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可持续影响指标</w:t>
            </w:r>
          </w:p>
        </w:tc>
        <w:tc>
          <w:tcPr>
            <w:tcW w:w="1171"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Times New Roman" w:hAnsi="Times New Roman" w:eastAsia="仿宋_GB2312" w:cs="Times New Roman"/>
                <w:color w:val="auto"/>
                <w:sz w:val="20"/>
                <w:szCs w:val="20"/>
                <w:lang w:eastAsia="zh-CN"/>
              </w:rPr>
              <w:t>提升监测工作可持续发展力</w:t>
            </w:r>
          </w:p>
        </w:tc>
        <w:tc>
          <w:tcPr>
            <w:tcW w:w="1169"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lang w:eastAsia="zh-CN"/>
              </w:rPr>
            </w:pPr>
            <w:r>
              <w:rPr>
                <w:rFonts w:hint="eastAsia" w:ascii="仿宋" w:hAnsi="仿宋" w:eastAsia="仿宋" w:cs="仿宋"/>
                <w:color w:val="auto"/>
                <w:lang w:eastAsia="zh-CN"/>
              </w:rPr>
              <w:t>持续影响</w:t>
            </w:r>
          </w:p>
        </w:tc>
        <w:tc>
          <w:tcPr>
            <w:tcW w:w="1204"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lang w:eastAsia="zh-CN"/>
              </w:rPr>
            </w:pPr>
            <w:r>
              <w:rPr>
                <w:rFonts w:hint="eastAsia" w:ascii="仿宋" w:hAnsi="仿宋" w:eastAsia="仿宋" w:cs="仿宋"/>
                <w:color w:val="auto"/>
                <w:lang w:eastAsia="zh-CN"/>
              </w:rPr>
              <w:t>持续影响</w:t>
            </w:r>
          </w:p>
        </w:tc>
        <w:tc>
          <w:tcPr>
            <w:tcW w:w="633" w:type="dxa"/>
            <w:gridSpan w:val="2"/>
            <w:tcBorders>
              <w:top w:val="single" w:color="auto" w:sz="4" w:space="0"/>
              <w:left w:val="single" w:color="auto" w:sz="4" w:space="0"/>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15</w:t>
            </w:r>
          </w:p>
        </w:tc>
        <w:tc>
          <w:tcPr>
            <w:tcW w:w="820"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15</w:t>
            </w:r>
          </w:p>
        </w:tc>
        <w:tc>
          <w:tcPr>
            <w:tcW w:w="1336" w:type="dxa"/>
            <w:gridSpan w:val="2"/>
            <w:tcBorders>
              <w:top w:val="single" w:color="auto" w:sz="4" w:space="0"/>
              <w:left w:val="single" w:color="auto" w:sz="4" w:space="0"/>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r>
      <w:tr>
        <w:tblPrEx>
          <w:tblLayout w:type="fixed"/>
          <w:tblCellMar>
            <w:top w:w="0" w:type="dxa"/>
            <w:left w:w="108" w:type="dxa"/>
            <w:bottom w:w="0" w:type="dxa"/>
            <w:right w:w="108" w:type="dxa"/>
          </w:tblCellMar>
        </w:tblPrEx>
        <w:trPr>
          <w:trHeight w:val="266" w:hRule="atLeast"/>
          <w:jc w:val="center"/>
        </w:trPr>
        <w:tc>
          <w:tcPr>
            <w:tcW w:w="1014" w:type="dxa"/>
            <w:vMerge w:val="continue"/>
            <w:tcBorders>
              <w:left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015" w:type="dxa"/>
            <w:vMerge w:val="continue"/>
            <w:tcBorders>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898" w:type="dxa"/>
            <w:vMerge w:val="continue"/>
            <w:tcBorders>
              <w:left w:val="single" w:color="auto" w:sz="4" w:space="0"/>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171"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w:t>
            </w:r>
          </w:p>
        </w:tc>
        <w:tc>
          <w:tcPr>
            <w:tcW w:w="1169"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204"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633"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820"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336"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r>
      <w:tr>
        <w:tblPrEx>
          <w:tblLayout w:type="fixed"/>
          <w:tblCellMar>
            <w:top w:w="0" w:type="dxa"/>
            <w:left w:w="108" w:type="dxa"/>
            <w:bottom w:w="0" w:type="dxa"/>
            <w:right w:w="108" w:type="dxa"/>
          </w:tblCellMar>
        </w:tblPrEx>
        <w:trPr>
          <w:trHeight w:val="266" w:hRule="atLeast"/>
          <w:jc w:val="center"/>
        </w:trPr>
        <w:tc>
          <w:tcPr>
            <w:tcW w:w="1014" w:type="dxa"/>
            <w:vMerge w:val="continue"/>
            <w:tcBorders>
              <w:left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015" w:type="dxa"/>
            <w:vMerge w:val="restart"/>
            <w:tcBorders>
              <w:top w:val="nil"/>
              <w:left w:val="nil"/>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满意度</w:t>
            </w:r>
          </w:p>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指标</w:t>
            </w:r>
          </w:p>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（10分）</w:t>
            </w:r>
          </w:p>
        </w:tc>
        <w:tc>
          <w:tcPr>
            <w:tcW w:w="898" w:type="dxa"/>
            <w:vMerge w:val="restart"/>
            <w:tcBorders>
              <w:top w:val="nil"/>
              <w:left w:val="nil"/>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服务对象满意度指标</w:t>
            </w:r>
          </w:p>
        </w:tc>
        <w:tc>
          <w:tcPr>
            <w:tcW w:w="1171"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Times New Roman" w:hAnsi="Times New Roman" w:eastAsia="仿宋_GB2312" w:cs="Times New Roman"/>
                <w:color w:val="auto"/>
                <w:sz w:val="20"/>
                <w:szCs w:val="20"/>
                <w:lang w:eastAsia="zh-CN"/>
              </w:rPr>
              <w:t>网络监测服务对象满意度</w:t>
            </w:r>
          </w:p>
        </w:tc>
        <w:tc>
          <w:tcPr>
            <w:tcW w:w="1169" w:type="dxa"/>
            <w:tcBorders>
              <w:top w:val="nil"/>
              <w:left w:val="nil"/>
              <w:bottom w:val="single" w:color="auto" w:sz="4" w:space="0"/>
              <w:right w:val="single" w:color="auto" w:sz="4" w:space="0"/>
            </w:tcBorders>
            <w:tcMar>
              <w:left w:w="0" w:type="dxa"/>
              <w:right w:w="0" w:type="dxa"/>
            </w:tcMar>
            <w:vAlign w:val="center"/>
          </w:tcPr>
          <w:p>
            <w:pPr>
              <w:jc w:val="center"/>
              <w:rPr>
                <w:rFonts w:hint="eastAsia" w:ascii="仿宋" w:hAnsi="仿宋" w:eastAsia="仿宋" w:cs="仿宋"/>
                <w:color w:val="auto"/>
              </w:rPr>
            </w:pPr>
            <w:r>
              <w:rPr>
                <w:rFonts w:hint="eastAsia" w:ascii="仿宋" w:hAnsi="仿宋" w:eastAsia="仿宋" w:cs="仿宋"/>
                <w:color w:val="auto"/>
                <w:kern w:val="0"/>
                <w:sz w:val="18"/>
                <w:szCs w:val="18"/>
              </w:rPr>
              <w:t>≧</w:t>
            </w:r>
            <w:r>
              <w:rPr>
                <w:rFonts w:hint="eastAsia" w:ascii="仿宋" w:hAnsi="仿宋" w:eastAsia="仿宋" w:cs="仿宋"/>
                <w:color w:val="auto"/>
                <w:kern w:val="0"/>
                <w:sz w:val="18"/>
                <w:szCs w:val="18"/>
                <w:lang w:val="en-US" w:eastAsia="zh-CN"/>
              </w:rPr>
              <w:t>9</w:t>
            </w:r>
            <w:r>
              <w:rPr>
                <w:rFonts w:hint="eastAsia" w:ascii="仿宋" w:hAnsi="仿宋" w:eastAsia="仿宋" w:cs="仿宋"/>
                <w:color w:val="auto"/>
                <w:kern w:val="0"/>
                <w:sz w:val="18"/>
                <w:szCs w:val="18"/>
              </w:rPr>
              <w:t>0%</w:t>
            </w:r>
          </w:p>
        </w:tc>
        <w:tc>
          <w:tcPr>
            <w:tcW w:w="1204" w:type="dxa"/>
            <w:tcBorders>
              <w:top w:val="nil"/>
              <w:left w:val="nil"/>
              <w:bottom w:val="single" w:color="auto" w:sz="4" w:space="0"/>
              <w:right w:val="single" w:color="auto" w:sz="4" w:space="0"/>
            </w:tcBorders>
            <w:tcMar>
              <w:left w:w="0" w:type="dxa"/>
              <w:right w:w="0" w:type="dxa"/>
            </w:tcMar>
            <w:vAlign w:val="center"/>
          </w:tcPr>
          <w:p>
            <w:pPr>
              <w:jc w:val="center"/>
              <w:rPr>
                <w:rFonts w:hint="eastAsia" w:ascii="仿宋" w:hAnsi="仿宋" w:eastAsia="仿宋" w:cs="仿宋"/>
                <w:color w:val="auto"/>
              </w:rPr>
            </w:pPr>
            <w:r>
              <w:rPr>
                <w:rFonts w:hint="eastAsia" w:ascii="仿宋" w:hAnsi="仿宋" w:eastAsia="仿宋" w:cs="仿宋"/>
                <w:color w:val="auto"/>
                <w:kern w:val="0"/>
                <w:sz w:val="18"/>
                <w:szCs w:val="18"/>
                <w:lang w:val="en-US" w:eastAsia="zh-CN"/>
              </w:rPr>
              <w:t>9</w:t>
            </w:r>
            <w:r>
              <w:rPr>
                <w:rFonts w:hint="eastAsia" w:ascii="仿宋" w:hAnsi="仿宋" w:eastAsia="仿宋" w:cs="仿宋"/>
                <w:color w:val="auto"/>
                <w:kern w:val="0"/>
                <w:sz w:val="18"/>
                <w:szCs w:val="18"/>
              </w:rPr>
              <w:t>0%</w:t>
            </w:r>
          </w:p>
        </w:tc>
        <w:tc>
          <w:tcPr>
            <w:tcW w:w="633" w:type="dxa"/>
            <w:gridSpan w:val="2"/>
            <w:tcBorders>
              <w:top w:val="nil"/>
              <w:left w:val="nil"/>
              <w:bottom w:val="single" w:color="auto" w:sz="4" w:space="0"/>
              <w:right w:val="single" w:color="auto" w:sz="4" w:space="0"/>
            </w:tcBorders>
            <w:tcMar>
              <w:left w:w="0" w:type="dxa"/>
              <w:right w:w="0" w:type="dxa"/>
            </w:tcMar>
            <w:vAlign w:val="center"/>
          </w:tcPr>
          <w:p>
            <w:pPr>
              <w:jc w:val="center"/>
              <w:rPr>
                <w:rFonts w:hint="eastAsia" w:ascii="仿宋" w:hAnsi="仿宋" w:eastAsia="仿宋" w:cs="仿宋"/>
                <w:color w:val="auto"/>
              </w:rPr>
            </w:pPr>
            <w:r>
              <w:rPr>
                <w:rFonts w:hint="eastAsia" w:ascii="Times New Roman" w:hAnsi="Times New Roman" w:eastAsia="仿宋_GB2312" w:cs="Times New Roman"/>
                <w:color w:val="auto"/>
                <w:sz w:val="20"/>
                <w:szCs w:val="20"/>
                <w:lang w:val="en-US" w:eastAsia="zh-CN"/>
              </w:rPr>
              <w:t>15</w:t>
            </w:r>
          </w:p>
        </w:tc>
        <w:tc>
          <w:tcPr>
            <w:tcW w:w="820" w:type="dxa"/>
            <w:tcBorders>
              <w:top w:val="nil"/>
              <w:left w:val="nil"/>
              <w:bottom w:val="single" w:color="auto" w:sz="4" w:space="0"/>
              <w:right w:val="single" w:color="auto" w:sz="4" w:space="0"/>
            </w:tcBorders>
            <w:tcMar>
              <w:left w:w="0" w:type="dxa"/>
              <w:right w:w="0" w:type="dxa"/>
            </w:tcMar>
            <w:vAlign w:val="center"/>
          </w:tcPr>
          <w:p>
            <w:pPr>
              <w:jc w:val="center"/>
              <w:rPr>
                <w:rFonts w:hint="eastAsia" w:ascii="仿宋" w:hAnsi="仿宋" w:eastAsia="仿宋" w:cs="仿宋"/>
                <w:color w:val="auto"/>
              </w:rPr>
            </w:pPr>
            <w:r>
              <w:rPr>
                <w:rFonts w:hint="eastAsia" w:ascii="Times New Roman" w:hAnsi="Times New Roman" w:eastAsia="仿宋_GB2312" w:cs="Times New Roman"/>
                <w:color w:val="auto"/>
                <w:sz w:val="20"/>
                <w:szCs w:val="20"/>
                <w:lang w:val="en-US" w:eastAsia="zh-CN"/>
              </w:rPr>
              <w:t>15</w:t>
            </w:r>
          </w:p>
        </w:tc>
        <w:tc>
          <w:tcPr>
            <w:tcW w:w="1336"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r>
      <w:tr>
        <w:tblPrEx>
          <w:tblLayout w:type="fixed"/>
          <w:tblCellMar>
            <w:top w:w="0" w:type="dxa"/>
            <w:left w:w="108" w:type="dxa"/>
            <w:bottom w:w="0" w:type="dxa"/>
            <w:right w:w="108" w:type="dxa"/>
          </w:tblCellMar>
        </w:tblPrEx>
        <w:trPr>
          <w:trHeight w:val="266" w:hRule="atLeast"/>
          <w:jc w:val="center"/>
        </w:trPr>
        <w:tc>
          <w:tcPr>
            <w:tcW w:w="1014" w:type="dxa"/>
            <w:vMerge w:val="continue"/>
            <w:tcBorders>
              <w:left w:val="single" w:color="auto" w:sz="4" w:space="0"/>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015" w:type="dxa"/>
            <w:vMerge w:val="continue"/>
            <w:tcBorders>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898" w:type="dxa"/>
            <w:vMerge w:val="continue"/>
            <w:tcBorders>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171"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w:t>
            </w:r>
          </w:p>
        </w:tc>
        <w:tc>
          <w:tcPr>
            <w:tcW w:w="1169"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204"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633"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820"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c>
          <w:tcPr>
            <w:tcW w:w="1336"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r>
      <w:tr>
        <w:tblPrEx>
          <w:tblLayout w:type="fixed"/>
          <w:tblCellMar>
            <w:top w:w="0" w:type="dxa"/>
            <w:left w:w="108" w:type="dxa"/>
            <w:bottom w:w="0" w:type="dxa"/>
            <w:right w:w="108" w:type="dxa"/>
          </w:tblCellMar>
        </w:tblPrEx>
        <w:trPr>
          <w:trHeight w:val="283" w:hRule="atLeast"/>
          <w:jc w:val="center"/>
        </w:trPr>
        <w:tc>
          <w:tcPr>
            <w:tcW w:w="6471" w:type="dxa"/>
            <w:gridSpan w:val="6"/>
            <w:tcBorders>
              <w:top w:val="single" w:color="auto" w:sz="4" w:space="0"/>
              <w:left w:val="single" w:color="auto" w:sz="4" w:space="0"/>
              <w:bottom w:val="single" w:color="auto" w:sz="4" w:space="0"/>
              <w:right w:val="single" w:color="000000"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总分</w:t>
            </w:r>
          </w:p>
        </w:tc>
        <w:tc>
          <w:tcPr>
            <w:tcW w:w="633"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r>
              <w:rPr>
                <w:rFonts w:hint="eastAsia" w:ascii="仿宋" w:hAnsi="仿宋" w:eastAsia="仿宋" w:cs="仿宋"/>
                <w:color w:val="auto"/>
              </w:rPr>
              <w:t>100</w:t>
            </w:r>
          </w:p>
        </w:tc>
        <w:tc>
          <w:tcPr>
            <w:tcW w:w="820" w:type="dxa"/>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96</w:t>
            </w:r>
          </w:p>
        </w:tc>
        <w:tc>
          <w:tcPr>
            <w:tcW w:w="1336" w:type="dxa"/>
            <w:gridSpan w:val="2"/>
            <w:tcBorders>
              <w:top w:val="nil"/>
              <w:left w:val="nil"/>
              <w:bottom w:val="single" w:color="auto" w:sz="4" w:space="0"/>
              <w:right w:val="single" w:color="auto" w:sz="4" w:space="0"/>
            </w:tcBorders>
            <w:tcMar>
              <w:left w:w="0" w:type="dxa"/>
              <w:right w:w="0" w:type="dxa"/>
            </w:tcMar>
            <w:vAlign w:val="center"/>
          </w:tcPr>
          <w:p>
            <w:pPr>
              <w:autoSpaceDE/>
              <w:autoSpaceDN/>
              <w:spacing w:line="240" w:lineRule="exact"/>
              <w:jc w:val="center"/>
              <w:rPr>
                <w:rFonts w:hint="eastAsia" w:ascii="仿宋" w:hAnsi="仿宋" w:eastAsia="仿宋" w:cs="仿宋"/>
                <w:color w:val="auto"/>
              </w:rPr>
            </w:pPr>
          </w:p>
        </w:tc>
      </w:tr>
    </w:tbl>
    <w:p>
      <w:pPr>
        <w:spacing w:before="167" w:line="225" w:lineRule="auto"/>
        <w:sectPr>
          <w:footerReference r:id="rId5" w:type="default"/>
          <w:pgSz w:w="11905" w:h="16840"/>
          <w:pgMar w:top="400" w:right="1435" w:bottom="1250" w:left="1436" w:header="0" w:footer="982" w:gutter="0"/>
          <w:pgBorders>
            <w:top w:val="none" w:sz="0" w:space="0"/>
            <w:left w:val="none" w:sz="0" w:space="0"/>
            <w:bottom w:val="none" w:sz="0" w:space="0"/>
            <w:right w:val="none" w:sz="0" w:space="0"/>
          </w:pgBorders>
          <w:pgNumType w:fmt="numberInDash"/>
          <w:cols w:space="720" w:num="1"/>
        </w:sectPr>
      </w:pPr>
      <w:r>
        <w:rPr>
          <w:rFonts w:ascii="微软雅黑" w:hAnsi="微软雅黑" w:eastAsia="微软雅黑" w:cs="微软雅黑"/>
          <w:spacing w:val="-7"/>
        </w:rPr>
        <w:t>填表人：</w:t>
      </w:r>
      <w:r>
        <w:rPr>
          <w:rFonts w:hint="eastAsia" w:ascii="微软雅黑" w:hAnsi="微软雅黑" w:eastAsia="微软雅黑" w:cs="微软雅黑"/>
          <w:spacing w:val="-7"/>
          <w:lang w:eastAsia="zh-CN"/>
        </w:rPr>
        <w:t>宋炀</w:t>
      </w:r>
      <w:r>
        <w:rPr>
          <w:rFonts w:ascii="微软雅黑" w:hAnsi="微软雅黑" w:eastAsia="微软雅黑" w:cs="微软雅黑"/>
          <w:spacing w:val="-7"/>
        </w:rPr>
        <w:t>  填报日期：</w:t>
      </w:r>
      <w:r>
        <w:rPr>
          <w:rFonts w:hint="eastAsia" w:ascii="微软雅黑" w:hAnsi="微软雅黑" w:eastAsia="微软雅黑" w:cs="微软雅黑"/>
          <w:spacing w:val="-7"/>
          <w:lang w:val="en-US" w:eastAsia="zh-CN"/>
        </w:rPr>
        <w:t>2024.03.28</w:t>
      </w:r>
      <w:r>
        <w:rPr>
          <w:rFonts w:ascii="微软雅黑" w:hAnsi="微软雅黑" w:eastAsia="微软雅黑" w:cs="微软雅黑"/>
          <w:spacing w:val="-7"/>
        </w:rPr>
        <w:t>    联系电话：</w:t>
      </w:r>
      <w:r>
        <w:rPr>
          <w:rFonts w:hint="eastAsia" w:ascii="微软雅黑" w:hAnsi="微软雅黑" w:eastAsia="微软雅黑" w:cs="微软雅黑"/>
          <w:spacing w:val="-7"/>
          <w:lang w:val="en-US" w:eastAsia="zh-CN"/>
        </w:rPr>
        <w:t>13507419009</w:t>
      </w:r>
      <w:r>
        <w:rPr>
          <w:rFonts w:ascii="微软雅黑" w:hAnsi="微软雅黑" w:eastAsia="微软雅黑" w:cs="微软雅黑"/>
          <w:spacing w:val="-7"/>
        </w:rPr>
        <w:t>  单位负责人签字</w:t>
      </w:r>
      <w:r>
        <w:rPr>
          <w:rFonts w:ascii="微软雅黑" w:hAnsi="微软雅黑" w:eastAsia="微软雅黑" w:cs="微软雅黑"/>
          <w:spacing w:val="-4"/>
        </w:rPr>
        <w:t>：</w:t>
      </w:r>
      <w:r>
        <w:rPr>
          <w:rFonts w:hint="eastAsia" w:ascii="Times New Roman" w:hAnsi="Times New Roman" w:eastAsia="仿宋_GB2312" w:cs="Times New Roman"/>
          <w:sz w:val="22"/>
          <w:lang w:eastAsia="zh-CN"/>
        </w:rPr>
        <w:t>颜珠容</w:t>
      </w:r>
    </w:p>
    <w:p>
      <w:pPr>
        <w:autoSpaceDE/>
        <w:autoSpaceDN/>
        <w:spacing w:line="600" w:lineRule="exact"/>
        <w:rPr>
          <w:rFonts w:hint="eastAsia" w:ascii="Times New Roman" w:hAnsi="Times New Roman" w:eastAsia="方正黑体_GBK" w:cs="Times New Roman"/>
          <w:color w:val="auto"/>
          <w:sz w:val="32"/>
          <w:szCs w:val="32"/>
        </w:rPr>
      </w:pPr>
      <w:r>
        <w:rPr>
          <w:rFonts w:ascii="Times New Roman" w:hAnsi="Times New Roman" w:eastAsia="方正黑体_GBK" w:cs="Times New Roman"/>
          <w:color w:val="auto"/>
          <w:sz w:val="32"/>
          <w:szCs w:val="32"/>
        </w:rPr>
        <w:t>附件</w:t>
      </w:r>
      <w:r>
        <w:rPr>
          <w:rFonts w:hint="eastAsia" w:ascii="Times New Roman" w:hAnsi="Times New Roman" w:eastAsia="方正黑体_GBK" w:cs="Times New Roman"/>
          <w:color w:val="auto"/>
          <w:sz w:val="32"/>
          <w:szCs w:val="32"/>
        </w:rPr>
        <w:t>7</w:t>
      </w:r>
    </w:p>
    <w:p>
      <w:pPr>
        <w:autoSpaceDE/>
        <w:autoSpaceDN/>
        <w:spacing w:before="468" w:beforeLines="150" w:after="468" w:afterLines="150" w:line="600" w:lineRule="exact"/>
        <w:jc w:val="center"/>
        <w:rPr>
          <w:rFonts w:hint="eastAsia" w:ascii="Times New Roman" w:hAnsi="Times New Roman" w:eastAsia="方正小标宋_GBK" w:cs="Times New Roman"/>
          <w:color w:val="auto"/>
          <w:sz w:val="44"/>
          <w:szCs w:val="44"/>
        </w:rPr>
      </w:pPr>
      <w:r>
        <w:rPr>
          <w:rFonts w:hint="eastAsia" w:ascii="Times New Roman" w:hAnsi="Times New Roman" w:eastAsia="方正小标宋_GBK" w:cs="Times New Roman"/>
          <w:color w:val="auto"/>
          <w:sz w:val="44"/>
          <w:szCs w:val="44"/>
        </w:rPr>
        <w:t>各类支出标准体系建设情况表</w:t>
      </w:r>
    </w:p>
    <w:tbl>
      <w:tblPr>
        <w:tblStyle w:val="12"/>
        <w:tblW w:w="14173"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98"/>
        <w:gridCol w:w="2137"/>
        <w:gridCol w:w="1657"/>
        <w:gridCol w:w="1897"/>
        <w:gridCol w:w="1897"/>
        <w:gridCol w:w="1701"/>
        <w:gridCol w:w="2094"/>
        <w:gridCol w:w="199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98" w:type="dxa"/>
            <w:vAlign w:val="center"/>
          </w:tcPr>
          <w:p>
            <w:pPr>
              <w:widowControl/>
              <w:autoSpaceDE/>
              <w:autoSpaceDN/>
              <w:spacing w:line="300" w:lineRule="exact"/>
              <w:jc w:val="center"/>
              <w:rPr>
                <w:rFonts w:hint="eastAsia" w:ascii="Times New Roman" w:hAnsi="Times New Roman" w:eastAsia="方正仿宋_GBK" w:cs="方正仿宋_GBK"/>
                <w:b/>
                <w:color w:val="auto"/>
              </w:rPr>
            </w:pPr>
            <w:r>
              <w:rPr>
                <w:rFonts w:hint="eastAsia" w:ascii="Times New Roman" w:hAnsi="Times New Roman" w:eastAsia="方正仿宋_GBK" w:cs="方正仿宋_GBK"/>
                <w:b/>
                <w:color w:val="auto"/>
              </w:rPr>
              <w:t>序号</w:t>
            </w:r>
          </w:p>
        </w:tc>
        <w:tc>
          <w:tcPr>
            <w:tcW w:w="2137" w:type="dxa"/>
            <w:vAlign w:val="center"/>
          </w:tcPr>
          <w:p>
            <w:pPr>
              <w:widowControl/>
              <w:autoSpaceDE/>
              <w:autoSpaceDN/>
              <w:spacing w:line="300" w:lineRule="exact"/>
              <w:jc w:val="center"/>
              <w:rPr>
                <w:rFonts w:hint="eastAsia" w:ascii="Times New Roman" w:hAnsi="Times New Roman" w:eastAsia="方正仿宋_GBK" w:cs="方正仿宋_GBK"/>
                <w:b/>
                <w:color w:val="auto"/>
              </w:rPr>
            </w:pPr>
            <w:r>
              <w:rPr>
                <w:rFonts w:hint="eastAsia" w:ascii="Times New Roman" w:hAnsi="Times New Roman" w:eastAsia="方正仿宋_GBK" w:cs="方正仿宋_GBK"/>
                <w:b/>
                <w:color w:val="auto"/>
              </w:rPr>
              <w:t>标准制定单位名称</w:t>
            </w:r>
          </w:p>
        </w:tc>
        <w:tc>
          <w:tcPr>
            <w:tcW w:w="1657" w:type="dxa"/>
            <w:vAlign w:val="top"/>
          </w:tcPr>
          <w:p>
            <w:pPr>
              <w:widowControl/>
              <w:autoSpaceDE/>
              <w:autoSpaceDN/>
              <w:spacing w:line="400" w:lineRule="exact"/>
              <w:jc w:val="center"/>
              <w:rPr>
                <w:rFonts w:hint="eastAsia" w:ascii="Times New Roman" w:hAnsi="Times New Roman" w:eastAsia="方正仿宋_GBK" w:cs="方正仿宋_GBK"/>
                <w:b/>
                <w:color w:val="auto"/>
              </w:rPr>
            </w:pPr>
            <w:r>
              <w:rPr>
                <w:rFonts w:hint="eastAsia" w:ascii="Times New Roman" w:hAnsi="Times New Roman" w:eastAsia="方正仿宋_GBK" w:cs="方正仿宋_GBK"/>
                <w:b/>
                <w:color w:val="auto"/>
              </w:rPr>
              <w:t>支出标准</w:t>
            </w:r>
          </w:p>
        </w:tc>
        <w:tc>
          <w:tcPr>
            <w:tcW w:w="1897" w:type="dxa"/>
            <w:vAlign w:val="top"/>
          </w:tcPr>
          <w:p>
            <w:pPr>
              <w:widowControl/>
              <w:autoSpaceDE/>
              <w:autoSpaceDN/>
              <w:spacing w:line="400" w:lineRule="exact"/>
              <w:jc w:val="center"/>
              <w:rPr>
                <w:rFonts w:hint="eastAsia" w:ascii="Times New Roman" w:hAnsi="Times New Roman" w:eastAsia="方正仿宋_GBK" w:cs="方正仿宋_GBK"/>
                <w:b/>
                <w:color w:val="auto"/>
              </w:rPr>
            </w:pPr>
            <w:r>
              <w:rPr>
                <w:rFonts w:hint="eastAsia" w:ascii="Times New Roman" w:hAnsi="Times New Roman" w:eastAsia="方正仿宋_GBK" w:cs="方正仿宋_GBK"/>
                <w:b/>
                <w:color w:val="auto"/>
              </w:rPr>
              <w:t>标准文件名</w:t>
            </w:r>
          </w:p>
        </w:tc>
        <w:tc>
          <w:tcPr>
            <w:tcW w:w="1897" w:type="dxa"/>
            <w:vAlign w:val="top"/>
          </w:tcPr>
          <w:p>
            <w:pPr>
              <w:widowControl/>
              <w:autoSpaceDE/>
              <w:autoSpaceDN/>
              <w:spacing w:line="400" w:lineRule="exact"/>
              <w:jc w:val="center"/>
              <w:rPr>
                <w:rFonts w:hint="eastAsia" w:ascii="Times New Roman" w:hAnsi="Times New Roman" w:eastAsia="方正仿宋_GBK" w:cs="方正仿宋_GBK"/>
                <w:b/>
                <w:color w:val="auto"/>
                <w:sz w:val="32"/>
                <w:szCs w:val="32"/>
              </w:rPr>
            </w:pPr>
            <w:r>
              <w:rPr>
                <w:rFonts w:hint="eastAsia" w:ascii="Times New Roman" w:hAnsi="Times New Roman" w:eastAsia="方正仿宋_GBK" w:cs="方正仿宋_GBK"/>
                <w:b/>
                <w:color w:val="auto"/>
              </w:rPr>
              <w:t>标准发布时间</w:t>
            </w:r>
          </w:p>
        </w:tc>
        <w:tc>
          <w:tcPr>
            <w:tcW w:w="1701" w:type="dxa"/>
            <w:vAlign w:val="top"/>
          </w:tcPr>
          <w:p>
            <w:pPr>
              <w:widowControl/>
              <w:autoSpaceDE/>
              <w:autoSpaceDN/>
              <w:spacing w:line="400" w:lineRule="exact"/>
              <w:jc w:val="center"/>
              <w:rPr>
                <w:rFonts w:hint="eastAsia" w:ascii="Times New Roman" w:hAnsi="Times New Roman" w:eastAsia="方正仿宋_GBK" w:cs="方正仿宋_GBK"/>
                <w:b/>
                <w:color w:val="auto"/>
              </w:rPr>
            </w:pPr>
            <w:r>
              <w:rPr>
                <w:rFonts w:hint="eastAsia" w:ascii="Times New Roman" w:hAnsi="Times New Roman" w:eastAsia="方正仿宋_GBK" w:cs="方正仿宋_GBK"/>
                <w:b/>
                <w:color w:val="auto"/>
              </w:rPr>
              <w:t>标准文号</w:t>
            </w:r>
          </w:p>
        </w:tc>
        <w:tc>
          <w:tcPr>
            <w:tcW w:w="2094" w:type="dxa"/>
            <w:vAlign w:val="top"/>
          </w:tcPr>
          <w:p>
            <w:pPr>
              <w:widowControl/>
              <w:autoSpaceDE/>
              <w:autoSpaceDN/>
              <w:spacing w:line="400" w:lineRule="exact"/>
              <w:jc w:val="center"/>
              <w:rPr>
                <w:rFonts w:hint="eastAsia" w:ascii="Times New Roman" w:hAnsi="Times New Roman" w:eastAsia="方正仿宋_GBK" w:cs="方正仿宋_GBK"/>
                <w:b/>
                <w:color w:val="auto"/>
                <w:sz w:val="32"/>
                <w:szCs w:val="32"/>
              </w:rPr>
            </w:pPr>
            <w:r>
              <w:rPr>
                <w:rFonts w:hint="eastAsia" w:ascii="Times New Roman" w:hAnsi="Times New Roman" w:eastAsia="方正仿宋_GBK" w:cs="方正仿宋_GBK"/>
                <w:b/>
                <w:color w:val="auto"/>
              </w:rPr>
              <w:t>标准相关条款</w:t>
            </w:r>
          </w:p>
        </w:tc>
        <w:tc>
          <w:tcPr>
            <w:tcW w:w="1992" w:type="dxa"/>
            <w:vAlign w:val="top"/>
          </w:tcPr>
          <w:p>
            <w:pPr>
              <w:widowControl/>
              <w:autoSpaceDE/>
              <w:autoSpaceDN/>
              <w:spacing w:line="400" w:lineRule="exact"/>
              <w:jc w:val="center"/>
              <w:rPr>
                <w:rFonts w:hint="eastAsia" w:ascii="Times New Roman" w:hAnsi="Times New Roman" w:eastAsia="方正仿宋_GBK" w:cs="方正仿宋_GBK"/>
                <w:b/>
                <w:color w:val="auto"/>
              </w:rPr>
            </w:pPr>
            <w:r>
              <w:rPr>
                <w:rFonts w:hint="eastAsia" w:ascii="Times New Roman" w:hAnsi="Times New Roman" w:eastAsia="方正仿宋_GBK" w:cs="方正仿宋_GBK"/>
                <w:b/>
                <w:color w:val="auto"/>
              </w:rPr>
              <w:t>标准制定依据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98"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2137" w:type="dxa"/>
            <w:vAlign w:val="top"/>
          </w:tcPr>
          <w:p>
            <w:pPr>
              <w:widowControl/>
              <w:autoSpaceDE/>
              <w:autoSpaceDN/>
              <w:spacing w:line="400" w:lineRule="exact"/>
              <w:jc w:val="center"/>
              <w:rPr>
                <w:rFonts w:hint="eastAsia" w:ascii="仿宋" w:hAnsi="仿宋" w:eastAsia="仿宋" w:cs="仿宋"/>
                <w:color w:val="auto"/>
                <w:sz w:val="20"/>
                <w:szCs w:val="20"/>
              </w:rPr>
            </w:pPr>
            <w:r>
              <w:rPr>
                <w:rFonts w:hint="eastAsia" w:ascii="仿宋" w:hAnsi="仿宋" w:eastAsia="仿宋" w:cs="仿宋"/>
                <w:color w:val="auto"/>
                <w:sz w:val="21"/>
                <w:szCs w:val="21"/>
              </w:rPr>
              <w:t>湖南省网络商品交易监测中心</w:t>
            </w:r>
          </w:p>
        </w:tc>
        <w:tc>
          <w:tcPr>
            <w:tcW w:w="1657" w:type="dxa"/>
            <w:vAlign w:val="top"/>
          </w:tcPr>
          <w:p>
            <w:pPr>
              <w:widowControl/>
              <w:autoSpaceDE/>
              <w:autoSpaceDN/>
              <w:spacing w:line="400" w:lineRule="exact"/>
              <w:jc w:val="center"/>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无</w:t>
            </w:r>
          </w:p>
        </w:tc>
        <w:tc>
          <w:tcPr>
            <w:tcW w:w="1897" w:type="dxa"/>
            <w:vAlign w:val="top"/>
          </w:tcPr>
          <w:p>
            <w:pPr>
              <w:widowControl/>
              <w:autoSpaceDE/>
              <w:autoSpaceDN/>
              <w:spacing w:line="400" w:lineRule="exact"/>
              <w:jc w:val="center"/>
              <w:rPr>
                <w:rFonts w:hint="eastAsia" w:ascii="仿宋" w:hAnsi="仿宋" w:eastAsia="仿宋" w:cs="仿宋"/>
                <w:color w:val="auto"/>
                <w:sz w:val="20"/>
                <w:szCs w:val="20"/>
              </w:rPr>
            </w:pPr>
            <w:r>
              <w:rPr>
                <w:rFonts w:hint="eastAsia" w:ascii="仿宋" w:hAnsi="仿宋" w:eastAsia="仿宋" w:cs="仿宋"/>
                <w:color w:val="auto"/>
                <w:sz w:val="20"/>
                <w:szCs w:val="20"/>
                <w:lang w:eastAsia="zh-CN"/>
              </w:rPr>
              <w:t>无</w:t>
            </w:r>
          </w:p>
        </w:tc>
        <w:tc>
          <w:tcPr>
            <w:tcW w:w="1897" w:type="dxa"/>
            <w:vAlign w:val="top"/>
          </w:tcPr>
          <w:p>
            <w:pPr>
              <w:widowControl/>
              <w:autoSpaceDE/>
              <w:autoSpaceDN/>
              <w:spacing w:line="400" w:lineRule="exact"/>
              <w:jc w:val="center"/>
              <w:rPr>
                <w:rFonts w:hint="eastAsia" w:ascii="仿宋" w:hAnsi="仿宋" w:eastAsia="仿宋" w:cs="仿宋"/>
                <w:color w:val="auto"/>
                <w:sz w:val="20"/>
                <w:szCs w:val="20"/>
              </w:rPr>
            </w:pPr>
            <w:r>
              <w:rPr>
                <w:rFonts w:hint="eastAsia" w:ascii="仿宋" w:hAnsi="仿宋" w:eastAsia="仿宋" w:cs="仿宋"/>
                <w:color w:val="auto"/>
                <w:sz w:val="20"/>
                <w:szCs w:val="20"/>
                <w:lang w:eastAsia="zh-CN"/>
              </w:rPr>
              <w:t>无</w:t>
            </w:r>
          </w:p>
        </w:tc>
        <w:tc>
          <w:tcPr>
            <w:tcW w:w="1701" w:type="dxa"/>
            <w:vAlign w:val="top"/>
          </w:tcPr>
          <w:p>
            <w:pPr>
              <w:widowControl/>
              <w:autoSpaceDE/>
              <w:autoSpaceDN/>
              <w:spacing w:line="400" w:lineRule="exact"/>
              <w:jc w:val="center"/>
              <w:rPr>
                <w:rFonts w:hint="eastAsia" w:ascii="仿宋" w:hAnsi="仿宋" w:eastAsia="仿宋" w:cs="仿宋"/>
                <w:color w:val="auto"/>
                <w:sz w:val="20"/>
                <w:szCs w:val="20"/>
              </w:rPr>
            </w:pPr>
            <w:r>
              <w:rPr>
                <w:rFonts w:hint="eastAsia" w:ascii="仿宋" w:hAnsi="仿宋" w:eastAsia="仿宋" w:cs="仿宋"/>
                <w:color w:val="auto"/>
                <w:sz w:val="20"/>
                <w:szCs w:val="20"/>
                <w:lang w:eastAsia="zh-CN"/>
              </w:rPr>
              <w:t>无</w:t>
            </w:r>
          </w:p>
        </w:tc>
        <w:tc>
          <w:tcPr>
            <w:tcW w:w="2094" w:type="dxa"/>
            <w:vAlign w:val="top"/>
          </w:tcPr>
          <w:p>
            <w:pPr>
              <w:widowControl/>
              <w:autoSpaceDE/>
              <w:autoSpaceDN/>
              <w:spacing w:line="400" w:lineRule="exact"/>
              <w:jc w:val="center"/>
              <w:rPr>
                <w:rFonts w:hint="eastAsia" w:ascii="仿宋" w:hAnsi="仿宋" w:eastAsia="仿宋" w:cs="仿宋"/>
                <w:color w:val="auto"/>
                <w:sz w:val="20"/>
                <w:szCs w:val="20"/>
              </w:rPr>
            </w:pPr>
            <w:r>
              <w:rPr>
                <w:rFonts w:hint="eastAsia" w:ascii="仿宋" w:hAnsi="仿宋" w:eastAsia="仿宋" w:cs="仿宋"/>
                <w:color w:val="auto"/>
                <w:sz w:val="20"/>
                <w:szCs w:val="20"/>
                <w:lang w:eastAsia="zh-CN"/>
              </w:rPr>
              <w:t>无</w:t>
            </w:r>
          </w:p>
        </w:tc>
        <w:tc>
          <w:tcPr>
            <w:tcW w:w="1992" w:type="dxa"/>
            <w:vAlign w:val="top"/>
          </w:tcPr>
          <w:p>
            <w:pPr>
              <w:widowControl/>
              <w:autoSpaceDE/>
              <w:autoSpaceDN/>
              <w:spacing w:line="400" w:lineRule="exact"/>
              <w:jc w:val="center"/>
              <w:rPr>
                <w:rFonts w:hint="eastAsia" w:ascii="仿宋" w:hAnsi="仿宋" w:eastAsia="仿宋" w:cs="仿宋"/>
                <w:color w:val="auto"/>
                <w:sz w:val="20"/>
                <w:szCs w:val="20"/>
              </w:rPr>
            </w:pPr>
            <w:r>
              <w:rPr>
                <w:rFonts w:hint="eastAsia" w:ascii="仿宋" w:hAnsi="仿宋" w:eastAsia="仿宋" w:cs="仿宋"/>
                <w:color w:val="auto"/>
                <w:sz w:val="20"/>
                <w:szCs w:val="20"/>
                <w:lang w:eastAsia="zh-CN"/>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98"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2137"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657"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897"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897"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701"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2094"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992"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98"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2137"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657"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897"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897"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701"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2094"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992"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98"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2137"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657"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897"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897"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701"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2094"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992"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98"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2137"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657"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897"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897"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701"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2094"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992"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98"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2137"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657"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897"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897"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701"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2094"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992"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98"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2137"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657"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897"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897"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701"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2094"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c>
          <w:tcPr>
            <w:tcW w:w="1992" w:type="dxa"/>
            <w:vAlign w:val="top"/>
          </w:tcPr>
          <w:p>
            <w:pPr>
              <w:widowControl/>
              <w:autoSpaceDE/>
              <w:autoSpaceDN/>
              <w:spacing w:line="400" w:lineRule="exact"/>
              <w:jc w:val="left"/>
              <w:rPr>
                <w:rFonts w:hint="eastAsia" w:ascii="Times New Roman" w:hAnsi="Times New Roman" w:eastAsia="方正仿宋_GBK" w:cs="方正仿宋_GBK"/>
                <w:color w:val="auto"/>
                <w:sz w:val="20"/>
                <w:szCs w:val="20"/>
              </w:rPr>
            </w:pPr>
          </w:p>
        </w:tc>
      </w:tr>
    </w:tbl>
    <w:p>
      <w:pPr>
        <w:autoSpaceDE/>
        <w:autoSpaceDN/>
        <w:spacing w:line="600" w:lineRule="exact"/>
        <w:rPr>
          <w:rFonts w:hint="eastAsia" w:ascii="Times New Roman" w:hAnsi="Times New Roman" w:eastAsia="黑体" w:cs="Times New Roman"/>
          <w:color w:val="auto"/>
          <w:spacing w:val="-25"/>
          <w:position w:val="1"/>
          <w:sz w:val="32"/>
          <w:szCs w:val="32"/>
        </w:rPr>
      </w:pPr>
      <w:r>
        <w:rPr>
          <w:rFonts w:ascii="Times New Roman" w:hAnsi="Times New Roman" w:cs="Times New Roman"/>
          <w:color w:val="auto"/>
        </w:rPr>
        <w:br w:type="page"/>
      </w:r>
      <w:r>
        <w:rPr>
          <w:rFonts w:ascii="Times New Roman" w:hAnsi="Times New Roman" w:eastAsia="方正黑体_GBK" w:cs="Times New Roman"/>
          <w:color w:val="auto"/>
          <w:sz w:val="32"/>
          <w:szCs w:val="32"/>
        </w:rPr>
        <w:t>附件</w:t>
      </w:r>
      <w:r>
        <w:rPr>
          <w:rFonts w:hint="eastAsia" w:ascii="Times New Roman" w:hAnsi="Times New Roman" w:eastAsia="方正黑体_GBK" w:cs="Times New Roman"/>
          <w:color w:val="auto"/>
          <w:sz w:val="32"/>
          <w:szCs w:val="32"/>
        </w:rPr>
        <w:t>8</w:t>
      </w:r>
    </w:p>
    <w:p>
      <w:pPr>
        <w:autoSpaceDE/>
        <w:autoSpaceDN/>
        <w:spacing w:before="468" w:beforeLines="150" w:after="468" w:afterLines="150" w:line="600" w:lineRule="exact"/>
        <w:jc w:val="center"/>
        <w:rPr>
          <w:rFonts w:ascii="Times New Roman" w:hAnsi="Times New Roman" w:eastAsia="方正小标宋_GBK" w:cs="Times New Roman"/>
          <w:color w:val="auto"/>
          <w:sz w:val="44"/>
          <w:szCs w:val="44"/>
        </w:rPr>
      </w:pPr>
      <w:r>
        <w:rPr>
          <w:rFonts w:hint="eastAsia" w:ascii="Times New Roman" w:hAnsi="Times New Roman" w:eastAsia="方正小标宋_GBK" w:cs="Times New Roman"/>
          <w:color w:val="auto"/>
          <w:sz w:val="44"/>
          <w:szCs w:val="44"/>
        </w:rPr>
        <w:t>预算绩效管理制度建设清单</w:t>
      </w:r>
    </w:p>
    <w:tbl>
      <w:tblPr>
        <w:tblStyle w:val="12"/>
        <w:tblW w:w="14173"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22"/>
        <w:gridCol w:w="1779"/>
        <w:gridCol w:w="2601"/>
        <w:gridCol w:w="2190"/>
        <w:gridCol w:w="2334"/>
        <w:gridCol w:w="2340"/>
        <w:gridCol w:w="200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22" w:type="dxa"/>
            <w:vAlign w:val="center"/>
          </w:tcPr>
          <w:p>
            <w:pPr>
              <w:widowControl/>
              <w:autoSpaceDE/>
              <w:autoSpaceDN/>
              <w:spacing w:line="300" w:lineRule="exact"/>
              <w:jc w:val="center"/>
              <w:rPr>
                <w:rFonts w:hint="eastAsia" w:ascii="Times New Roman" w:hAnsi="Times New Roman" w:eastAsia="方正仿宋_GBK" w:cs="方正仿宋_GBK"/>
                <w:b/>
                <w:color w:val="auto"/>
              </w:rPr>
            </w:pPr>
            <w:r>
              <w:rPr>
                <w:rFonts w:hint="eastAsia" w:ascii="Times New Roman" w:hAnsi="Times New Roman" w:eastAsia="方正仿宋_GBK" w:cs="方正仿宋_GBK"/>
                <w:b/>
                <w:color w:val="auto"/>
              </w:rPr>
              <w:t>序号</w:t>
            </w:r>
          </w:p>
        </w:tc>
        <w:tc>
          <w:tcPr>
            <w:tcW w:w="1779" w:type="dxa"/>
            <w:vAlign w:val="center"/>
          </w:tcPr>
          <w:p>
            <w:pPr>
              <w:widowControl/>
              <w:autoSpaceDE/>
              <w:autoSpaceDN/>
              <w:spacing w:line="300" w:lineRule="exact"/>
              <w:jc w:val="center"/>
              <w:rPr>
                <w:rFonts w:hint="eastAsia" w:ascii="Times New Roman" w:hAnsi="Times New Roman" w:eastAsia="方正仿宋_GBK" w:cs="方正仿宋_GBK"/>
                <w:b/>
                <w:color w:val="auto"/>
              </w:rPr>
            </w:pPr>
            <w:r>
              <w:rPr>
                <w:rFonts w:hint="eastAsia" w:ascii="Times New Roman" w:hAnsi="Times New Roman" w:eastAsia="方正仿宋_GBK" w:cs="方正仿宋_GBK"/>
                <w:b/>
                <w:color w:val="auto"/>
              </w:rPr>
              <w:t>单位名称</w:t>
            </w:r>
          </w:p>
        </w:tc>
        <w:tc>
          <w:tcPr>
            <w:tcW w:w="2601" w:type="dxa"/>
            <w:vAlign w:val="center"/>
          </w:tcPr>
          <w:p>
            <w:pPr>
              <w:widowControl/>
              <w:autoSpaceDE/>
              <w:autoSpaceDN/>
              <w:spacing w:line="400" w:lineRule="exact"/>
              <w:jc w:val="center"/>
              <w:rPr>
                <w:rFonts w:hint="eastAsia" w:ascii="Times New Roman" w:hAnsi="Times New Roman" w:eastAsia="方正仿宋_GBK" w:cs="方正仿宋_GBK"/>
                <w:b/>
                <w:color w:val="auto"/>
              </w:rPr>
            </w:pPr>
            <w:r>
              <w:rPr>
                <w:rFonts w:hint="eastAsia" w:ascii="Times New Roman" w:hAnsi="Times New Roman" w:eastAsia="方正仿宋_GBK" w:cs="方正仿宋_GBK"/>
                <w:b/>
                <w:color w:val="auto"/>
              </w:rPr>
              <w:t>制度名称</w:t>
            </w:r>
          </w:p>
        </w:tc>
        <w:tc>
          <w:tcPr>
            <w:tcW w:w="2190" w:type="dxa"/>
            <w:vAlign w:val="center"/>
          </w:tcPr>
          <w:p>
            <w:pPr>
              <w:widowControl/>
              <w:autoSpaceDE/>
              <w:autoSpaceDN/>
              <w:spacing w:line="400" w:lineRule="exact"/>
              <w:jc w:val="center"/>
              <w:rPr>
                <w:rFonts w:hint="eastAsia" w:ascii="Times New Roman" w:hAnsi="Times New Roman" w:eastAsia="方正仿宋_GBK" w:cs="方正仿宋_GBK"/>
                <w:b/>
                <w:color w:val="auto"/>
                <w:sz w:val="32"/>
                <w:szCs w:val="32"/>
              </w:rPr>
            </w:pPr>
            <w:r>
              <w:rPr>
                <w:rFonts w:hint="eastAsia" w:ascii="Times New Roman" w:hAnsi="Times New Roman" w:eastAsia="方正仿宋_GBK" w:cs="方正仿宋_GBK"/>
                <w:b/>
                <w:color w:val="auto"/>
              </w:rPr>
              <w:t>建设时间</w:t>
            </w:r>
          </w:p>
        </w:tc>
        <w:tc>
          <w:tcPr>
            <w:tcW w:w="2334" w:type="dxa"/>
            <w:vAlign w:val="center"/>
          </w:tcPr>
          <w:p>
            <w:pPr>
              <w:widowControl/>
              <w:autoSpaceDE/>
              <w:autoSpaceDN/>
              <w:spacing w:line="400" w:lineRule="exact"/>
              <w:jc w:val="center"/>
              <w:rPr>
                <w:rFonts w:hint="eastAsia" w:ascii="Times New Roman" w:hAnsi="Times New Roman" w:eastAsia="方正仿宋_GBK" w:cs="方正仿宋_GBK"/>
                <w:b/>
                <w:color w:val="auto"/>
              </w:rPr>
            </w:pPr>
            <w:r>
              <w:rPr>
                <w:rFonts w:hint="eastAsia" w:ascii="Times New Roman" w:hAnsi="Times New Roman" w:eastAsia="方正仿宋_GBK" w:cs="方正仿宋_GBK"/>
                <w:b/>
                <w:color w:val="auto"/>
              </w:rPr>
              <w:t>制度文号</w:t>
            </w:r>
          </w:p>
        </w:tc>
        <w:tc>
          <w:tcPr>
            <w:tcW w:w="2340" w:type="dxa"/>
            <w:vAlign w:val="center"/>
          </w:tcPr>
          <w:p>
            <w:pPr>
              <w:widowControl/>
              <w:autoSpaceDE/>
              <w:autoSpaceDN/>
              <w:spacing w:line="400" w:lineRule="exact"/>
              <w:jc w:val="center"/>
              <w:rPr>
                <w:rFonts w:hint="eastAsia" w:ascii="Times New Roman" w:hAnsi="Times New Roman" w:eastAsia="方正仿宋_GBK" w:cs="方正仿宋_GBK"/>
                <w:b/>
                <w:color w:val="auto"/>
                <w:sz w:val="32"/>
                <w:szCs w:val="32"/>
              </w:rPr>
            </w:pPr>
            <w:r>
              <w:rPr>
                <w:rFonts w:hint="eastAsia" w:ascii="Times New Roman" w:hAnsi="Times New Roman" w:eastAsia="方正仿宋_GBK" w:cs="方正仿宋_GBK"/>
                <w:b/>
                <w:color w:val="auto"/>
              </w:rPr>
              <w:t>制定依据</w:t>
            </w:r>
          </w:p>
        </w:tc>
        <w:tc>
          <w:tcPr>
            <w:tcW w:w="2007" w:type="dxa"/>
            <w:vAlign w:val="center"/>
          </w:tcPr>
          <w:p>
            <w:pPr>
              <w:widowControl/>
              <w:autoSpaceDE/>
              <w:autoSpaceDN/>
              <w:spacing w:line="400" w:lineRule="exact"/>
              <w:jc w:val="center"/>
              <w:rPr>
                <w:rFonts w:hint="eastAsia" w:ascii="Times New Roman" w:hAnsi="Times New Roman" w:eastAsia="方正仿宋_GBK" w:cs="方正仿宋_GBK"/>
                <w:b/>
                <w:color w:val="auto"/>
              </w:rPr>
            </w:pPr>
            <w:r>
              <w:rPr>
                <w:rFonts w:hint="eastAsia" w:ascii="Times New Roman" w:hAnsi="Times New Roman" w:eastAsia="方正仿宋_GBK" w:cs="方正仿宋_GBK"/>
                <w:b/>
                <w:color w:val="auto"/>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22" w:type="dxa"/>
            <w:vAlign w:val="center"/>
          </w:tcPr>
          <w:p>
            <w:pPr>
              <w:widowControl/>
              <w:autoSpaceDE/>
              <w:autoSpaceDN/>
              <w:spacing w:line="400" w:lineRule="exact"/>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w:t>
            </w:r>
          </w:p>
        </w:tc>
        <w:tc>
          <w:tcPr>
            <w:tcW w:w="1779" w:type="dxa"/>
            <w:vAlign w:val="center"/>
          </w:tcPr>
          <w:p>
            <w:pPr>
              <w:widowControl/>
              <w:autoSpaceDE/>
              <w:autoSpaceDN/>
              <w:spacing w:line="40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湖南省网络商品交易监测中心</w:t>
            </w:r>
          </w:p>
        </w:tc>
        <w:tc>
          <w:tcPr>
            <w:tcW w:w="2601" w:type="dxa"/>
            <w:vAlign w:val="center"/>
          </w:tcPr>
          <w:p>
            <w:pPr>
              <w:widowControl/>
              <w:autoSpaceDE/>
              <w:autoSpaceDN/>
              <w:spacing w:line="40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湖南省网络商品交易监测中心内控手册</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湖南省网络商品交易监测中心</w:t>
            </w:r>
            <w:r>
              <w:rPr>
                <w:rFonts w:hint="eastAsia" w:ascii="仿宋" w:hAnsi="仿宋" w:eastAsia="仿宋" w:cs="仿宋"/>
                <w:color w:val="auto"/>
                <w:sz w:val="21"/>
                <w:szCs w:val="21"/>
                <w:lang w:eastAsia="zh-CN"/>
              </w:rPr>
              <w:t>专项资金使用管理办法》</w:t>
            </w:r>
          </w:p>
        </w:tc>
        <w:tc>
          <w:tcPr>
            <w:tcW w:w="2190" w:type="dxa"/>
            <w:vAlign w:val="center"/>
          </w:tcPr>
          <w:p>
            <w:pPr>
              <w:widowControl/>
              <w:autoSpaceDE/>
              <w:autoSpaceDN/>
              <w:spacing w:line="400" w:lineRule="exact"/>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2023年9月7日</w:t>
            </w:r>
          </w:p>
        </w:tc>
        <w:tc>
          <w:tcPr>
            <w:tcW w:w="2334" w:type="dxa"/>
            <w:vAlign w:val="center"/>
          </w:tcPr>
          <w:p>
            <w:pPr>
              <w:widowControl/>
              <w:autoSpaceDE/>
              <w:autoSpaceDN/>
              <w:spacing w:line="400" w:lineRule="exact"/>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湘市网监〔2023〕6号</w:t>
            </w:r>
          </w:p>
        </w:tc>
        <w:tc>
          <w:tcPr>
            <w:tcW w:w="2340" w:type="dxa"/>
            <w:vAlign w:val="center"/>
          </w:tcPr>
          <w:p>
            <w:pPr>
              <w:widowControl/>
              <w:autoSpaceDE/>
              <w:autoSpaceDN/>
              <w:spacing w:line="400" w:lineRule="exact"/>
              <w:jc w:val="center"/>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中华人民共和国预算法</w:t>
            </w:r>
          </w:p>
        </w:tc>
        <w:tc>
          <w:tcPr>
            <w:tcW w:w="2007" w:type="dxa"/>
            <w:vAlign w:val="center"/>
          </w:tcPr>
          <w:p>
            <w:pPr>
              <w:widowControl/>
              <w:autoSpaceDE/>
              <w:autoSpaceDN/>
              <w:spacing w:line="400" w:lineRule="exact"/>
              <w:jc w:val="center"/>
              <w:rPr>
                <w:rFonts w:hint="eastAsia" w:ascii="仿宋" w:hAnsi="仿宋" w:eastAsia="仿宋" w:cs="仿宋"/>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22" w:type="dxa"/>
            <w:vAlign w:val="center"/>
          </w:tcPr>
          <w:p>
            <w:pPr>
              <w:widowControl/>
              <w:autoSpaceDE/>
              <w:autoSpaceDN/>
              <w:spacing w:line="400" w:lineRule="exact"/>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w:t>
            </w:r>
          </w:p>
        </w:tc>
        <w:tc>
          <w:tcPr>
            <w:tcW w:w="1779" w:type="dxa"/>
            <w:vAlign w:val="center"/>
          </w:tcPr>
          <w:p>
            <w:pPr>
              <w:widowControl/>
              <w:autoSpaceDE/>
              <w:autoSpaceDN/>
              <w:spacing w:line="40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湖南省网络商品交易监测中心</w:t>
            </w:r>
          </w:p>
        </w:tc>
        <w:tc>
          <w:tcPr>
            <w:tcW w:w="2601" w:type="dxa"/>
            <w:vAlign w:val="center"/>
          </w:tcPr>
          <w:p>
            <w:pPr>
              <w:widowControl/>
              <w:autoSpaceDE/>
              <w:autoSpaceDN/>
              <w:spacing w:line="40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rPr>
              <w:t>湖南省网络商品交易监测中心内控手册</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湖南省网络商品交易监测中心</w:t>
            </w:r>
            <w:r>
              <w:rPr>
                <w:rFonts w:hint="eastAsia" w:ascii="仿宋" w:hAnsi="仿宋" w:eastAsia="仿宋" w:cs="仿宋"/>
                <w:color w:val="auto"/>
                <w:sz w:val="21"/>
                <w:szCs w:val="21"/>
                <w:lang w:eastAsia="zh-CN"/>
              </w:rPr>
              <w:t>预算管理办法》</w:t>
            </w:r>
          </w:p>
        </w:tc>
        <w:tc>
          <w:tcPr>
            <w:tcW w:w="2190" w:type="dxa"/>
            <w:vAlign w:val="center"/>
          </w:tcPr>
          <w:p>
            <w:pPr>
              <w:widowControl/>
              <w:autoSpaceDE/>
              <w:autoSpaceDN/>
              <w:spacing w:line="40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2023年9月7日</w:t>
            </w:r>
          </w:p>
        </w:tc>
        <w:tc>
          <w:tcPr>
            <w:tcW w:w="2334" w:type="dxa"/>
            <w:vAlign w:val="center"/>
          </w:tcPr>
          <w:p>
            <w:pPr>
              <w:widowControl/>
              <w:autoSpaceDE/>
              <w:autoSpaceDN/>
              <w:spacing w:line="40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湘市网监〔2023〕6号</w:t>
            </w:r>
          </w:p>
        </w:tc>
        <w:tc>
          <w:tcPr>
            <w:tcW w:w="2340" w:type="dxa"/>
            <w:vAlign w:val="center"/>
          </w:tcPr>
          <w:p>
            <w:pPr>
              <w:widowControl/>
              <w:autoSpaceDE/>
              <w:autoSpaceDN/>
              <w:spacing w:line="400" w:lineRule="exact"/>
              <w:jc w:val="center"/>
              <w:rPr>
                <w:rFonts w:hint="eastAsia" w:ascii="仿宋" w:hAnsi="仿宋" w:eastAsia="仿宋" w:cs="仿宋"/>
                <w:color w:val="auto"/>
                <w:sz w:val="21"/>
                <w:szCs w:val="21"/>
              </w:rPr>
            </w:pPr>
            <w:r>
              <w:rPr>
                <w:rFonts w:hint="eastAsia" w:ascii="仿宋" w:hAnsi="仿宋" w:eastAsia="仿宋" w:cs="仿宋"/>
                <w:color w:val="auto"/>
                <w:sz w:val="21"/>
                <w:szCs w:val="21"/>
                <w:lang w:eastAsia="zh-CN"/>
              </w:rPr>
              <w:t>中华人民共和国预算法</w:t>
            </w:r>
          </w:p>
        </w:tc>
        <w:tc>
          <w:tcPr>
            <w:tcW w:w="2007" w:type="dxa"/>
            <w:vAlign w:val="center"/>
          </w:tcPr>
          <w:p>
            <w:pPr>
              <w:widowControl/>
              <w:autoSpaceDE/>
              <w:autoSpaceDN/>
              <w:spacing w:line="400" w:lineRule="exact"/>
              <w:jc w:val="center"/>
              <w:rPr>
                <w:rFonts w:hint="eastAsia" w:ascii="仿宋" w:hAnsi="仿宋" w:eastAsia="仿宋" w:cs="仿宋"/>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22" w:type="dxa"/>
            <w:vAlign w:val="center"/>
          </w:tcPr>
          <w:p>
            <w:pPr>
              <w:widowControl/>
              <w:autoSpaceDE/>
              <w:autoSpaceDN/>
              <w:spacing w:line="400" w:lineRule="exact"/>
              <w:jc w:val="left"/>
              <w:rPr>
                <w:rFonts w:hint="eastAsia" w:ascii="Times New Roman" w:hAnsi="Times New Roman" w:eastAsia="方正仿宋_GBK" w:cs="方正仿宋_GBK"/>
                <w:color w:val="auto"/>
                <w:sz w:val="32"/>
                <w:szCs w:val="32"/>
              </w:rPr>
            </w:pPr>
          </w:p>
        </w:tc>
        <w:tc>
          <w:tcPr>
            <w:tcW w:w="1779" w:type="dxa"/>
            <w:vAlign w:val="center"/>
          </w:tcPr>
          <w:p>
            <w:pPr>
              <w:widowControl/>
              <w:autoSpaceDE/>
              <w:autoSpaceDN/>
              <w:spacing w:line="400" w:lineRule="exact"/>
              <w:jc w:val="left"/>
              <w:rPr>
                <w:rFonts w:hint="eastAsia" w:ascii="Times New Roman" w:hAnsi="Times New Roman" w:eastAsia="方正仿宋_GBK" w:cs="方正仿宋_GBK"/>
                <w:color w:val="auto"/>
                <w:sz w:val="32"/>
                <w:szCs w:val="32"/>
              </w:rPr>
            </w:pPr>
          </w:p>
        </w:tc>
        <w:tc>
          <w:tcPr>
            <w:tcW w:w="2601" w:type="dxa"/>
            <w:vAlign w:val="center"/>
          </w:tcPr>
          <w:p>
            <w:pPr>
              <w:widowControl/>
              <w:autoSpaceDE/>
              <w:autoSpaceDN/>
              <w:spacing w:line="400" w:lineRule="exact"/>
              <w:jc w:val="left"/>
              <w:rPr>
                <w:rFonts w:hint="eastAsia" w:ascii="Times New Roman" w:hAnsi="Times New Roman" w:eastAsia="方正仿宋_GBK" w:cs="方正仿宋_GBK"/>
                <w:color w:val="auto"/>
                <w:sz w:val="32"/>
                <w:szCs w:val="32"/>
              </w:rPr>
            </w:pPr>
          </w:p>
        </w:tc>
        <w:tc>
          <w:tcPr>
            <w:tcW w:w="2190" w:type="dxa"/>
            <w:vAlign w:val="center"/>
          </w:tcPr>
          <w:p>
            <w:pPr>
              <w:widowControl/>
              <w:autoSpaceDE/>
              <w:autoSpaceDN/>
              <w:spacing w:line="400" w:lineRule="exact"/>
              <w:jc w:val="left"/>
              <w:rPr>
                <w:rFonts w:hint="eastAsia" w:ascii="Times New Roman" w:hAnsi="Times New Roman" w:eastAsia="方正仿宋_GBK" w:cs="方正仿宋_GBK"/>
                <w:color w:val="auto"/>
                <w:sz w:val="32"/>
                <w:szCs w:val="32"/>
              </w:rPr>
            </w:pPr>
          </w:p>
        </w:tc>
        <w:tc>
          <w:tcPr>
            <w:tcW w:w="2334" w:type="dxa"/>
            <w:vAlign w:val="center"/>
          </w:tcPr>
          <w:p>
            <w:pPr>
              <w:widowControl/>
              <w:autoSpaceDE/>
              <w:autoSpaceDN/>
              <w:spacing w:line="400" w:lineRule="exact"/>
              <w:jc w:val="left"/>
              <w:rPr>
                <w:rFonts w:hint="eastAsia" w:ascii="Times New Roman" w:hAnsi="Times New Roman" w:eastAsia="方正仿宋_GBK" w:cs="方正仿宋_GBK"/>
                <w:color w:val="auto"/>
                <w:sz w:val="32"/>
                <w:szCs w:val="32"/>
              </w:rPr>
            </w:pPr>
          </w:p>
        </w:tc>
        <w:tc>
          <w:tcPr>
            <w:tcW w:w="2340" w:type="dxa"/>
            <w:vAlign w:val="center"/>
          </w:tcPr>
          <w:p>
            <w:pPr>
              <w:widowControl/>
              <w:autoSpaceDE/>
              <w:autoSpaceDN/>
              <w:spacing w:line="400" w:lineRule="exact"/>
              <w:jc w:val="left"/>
              <w:rPr>
                <w:rFonts w:hint="eastAsia" w:ascii="Times New Roman" w:hAnsi="Times New Roman" w:eastAsia="方正仿宋_GBK" w:cs="方正仿宋_GBK"/>
                <w:color w:val="auto"/>
                <w:sz w:val="32"/>
                <w:szCs w:val="32"/>
              </w:rPr>
            </w:pPr>
          </w:p>
        </w:tc>
        <w:tc>
          <w:tcPr>
            <w:tcW w:w="2007" w:type="dxa"/>
            <w:vAlign w:val="center"/>
          </w:tcPr>
          <w:p>
            <w:pPr>
              <w:widowControl/>
              <w:autoSpaceDE/>
              <w:autoSpaceDN/>
              <w:spacing w:line="400" w:lineRule="exact"/>
              <w:jc w:val="left"/>
              <w:rPr>
                <w:rFonts w:hint="eastAsia" w:ascii="Times New Roman" w:hAnsi="Times New Roman" w:eastAsia="方正仿宋_GBK" w:cs="方正仿宋_GBK"/>
                <w:color w:val="auto"/>
                <w:sz w:val="32"/>
                <w:szCs w:val="3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22" w:type="dxa"/>
            <w:vAlign w:val="center"/>
          </w:tcPr>
          <w:p>
            <w:pPr>
              <w:widowControl/>
              <w:autoSpaceDE/>
              <w:autoSpaceDN/>
              <w:spacing w:line="400" w:lineRule="exact"/>
              <w:jc w:val="left"/>
              <w:rPr>
                <w:rFonts w:hint="eastAsia" w:ascii="Times New Roman" w:hAnsi="Times New Roman" w:eastAsia="方正仿宋_GBK" w:cs="方正仿宋_GBK"/>
                <w:color w:val="auto"/>
                <w:sz w:val="32"/>
                <w:szCs w:val="32"/>
              </w:rPr>
            </w:pPr>
          </w:p>
        </w:tc>
        <w:tc>
          <w:tcPr>
            <w:tcW w:w="1779" w:type="dxa"/>
            <w:vAlign w:val="center"/>
          </w:tcPr>
          <w:p>
            <w:pPr>
              <w:widowControl/>
              <w:autoSpaceDE/>
              <w:autoSpaceDN/>
              <w:spacing w:line="400" w:lineRule="exact"/>
              <w:jc w:val="left"/>
              <w:rPr>
                <w:rFonts w:hint="eastAsia" w:ascii="Times New Roman" w:hAnsi="Times New Roman" w:eastAsia="方正仿宋_GBK" w:cs="方正仿宋_GBK"/>
                <w:color w:val="auto"/>
                <w:sz w:val="32"/>
                <w:szCs w:val="32"/>
              </w:rPr>
            </w:pPr>
          </w:p>
        </w:tc>
        <w:tc>
          <w:tcPr>
            <w:tcW w:w="2601" w:type="dxa"/>
            <w:vAlign w:val="center"/>
          </w:tcPr>
          <w:p>
            <w:pPr>
              <w:widowControl/>
              <w:autoSpaceDE/>
              <w:autoSpaceDN/>
              <w:spacing w:line="400" w:lineRule="exact"/>
              <w:jc w:val="left"/>
              <w:rPr>
                <w:rFonts w:hint="eastAsia" w:ascii="Times New Roman" w:hAnsi="Times New Roman" w:eastAsia="方正仿宋_GBK" w:cs="方正仿宋_GBK"/>
                <w:color w:val="auto"/>
                <w:sz w:val="32"/>
                <w:szCs w:val="32"/>
              </w:rPr>
            </w:pPr>
          </w:p>
        </w:tc>
        <w:tc>
          <w:tcPr>
            <w:tcW w:w="2190" w:type="dxa"/>
            <w:vAlign w:val="center"/>
          </w:tcPr>
          <w:p>
            <w:pPr>
              <w:widowControl/>
              <w:autoSpaceDE/>
              <w:autoSpaceDN/>
              <w:spacing w:line="400" w:lineRule="exact"/>
              <w:jc w:val="left"/>
              <w:rPr>
                <w:rFonts w:hint="eastAsia" w:ascii="Times New Roman" w:hAnsi="Times New Roman" w:eastAsia="方正仿宋_GBK" w:cs="方正仿宋_GBK"/>
                <w:color w:val="auto"/>
                <w:sz w:val="32"/>
                <w:szCs w:val="32"/>
              </w:rPr>
            </w:pPr>
          </w:p>
        </w:tc>
        <w:tc>
          <w:tcPr>
            <w:tcW w:w="2334" w:type="dxa"/>
            <w:vAlign w:val="center"/>
          </w:tcPr>
          <w:p>
            <w:pPr>
              <w:widowControl/>
              <w:autoSpaceDE/>
              <w:autoSpaceDN/>
              <w:spacing w:line="400" w:lineRule="exact"/>
              <w:jc w:val="left"/>
              <w:rPr>
                <w:rFonts w:hint="eastAsia" w:ascii="Times New Roman" w:hAnsi="Times New Roman" w:eastAsia="方正仿宋_GBK" w:cs="方正仿宋_GBK"/>
                <w:color w:val="auto"/>
                <w:sz w:val="32"/>
                <w:szCs w:val="32"/>
              </w:rPr>
            </w:pPr>
          </w:p>
        </w:tc>
        <w:tc>
          <w:tcPr>
            <w:tcW w:w="2340" w:type="dxa"/>
            <w:vAlign w:val="center"/>
          </w:tcPr>
          <w:p>
            <w:pPr>
              <w:widowControl/>
              <w:autoSpaceDE/>
              <w:autoSpaceDN/>
              <w:spacing w:line="400" w:lineRule="exact"/>
              <w:jc w:val="left"/>
              <w:rPr>
                <w:rFonts w:hint="eastAsia" w:ascii="Times New Roman" w:hAnsi="Times New Roman" w:eastAsia="方正仿宋_GBK" w:cs="方正仿宋_GBK"/>
                <w:color w:val="auto"/>
                <w:sz w:val="32"/>
                <w:szCs w:val="32"/>
              </w:rPr>
            </w:pPr>
          </w:p>
        </w:tc>
        <w:tc>
          <w:tcPr>
            <w:tcW w:w="2007" w:type="dxa"/>
            <w:vAlign w:val="center"/>
          </w:tcPr>
          <w:p>
            <w:pPr>
              <w:widowControl/>
              <w:autoSpaceDE/>
              <w:autoSpaceDN/>
              <w:spacing w:line="400" w:lineRule="exact"/>
              <w:jc w:val="left"/>
              <w:rPr>
                <w:rFonts w:hint="eastAsia" w:ascii="Times New Roman" w:hAnsi="Times New Roman" w:eastAsia="方正仿宋_GBK" w:cs="方正仿宋_GBK"/>
                <w:color w:val="auto"/>
                <w:sz w:val="32"/>
                <w:szCs w:val="32"/>
              </w:rPr>
            </w:pPr>
          </w:p>
        </w:tc>
      </w:tr>
    </w:tbl>
    <w:p>
      <w:pPr>
        <w:autoSpaceDE/>
        <w:autoSpaceDN/>
        <w:spacing w:line="400" w:lineRule="exact"/>
        <w:ind w:right="420" w:rightChars="200"/>
        <w:rPr>
          <w:rFonts w:ascii="Times New Roman" w:hAnsi="Times New Roman" w:eastAsia="微软雅黑" w:cs="Times New Roman"/>
          <w:color w:val="auto"/>
          <w:sz w:val="32"/>
          <w:szCs w:val="32"/>
        </w:rPr>
      </w:pPr>
    </w:p>
    <w:p>
      <w:pPr>
        <w:autoSpaceDE/>
        <w:autoSpaceDN/>
        <w:spacing w:line="400" w:lineRule="exact"/>
        <w:ind w:firstLine="712" w:firstLineChars="200"/>
        <w:rPr>
          <w:rFonts w:ascii="Times New Roman" w:hAnsi="Times New Roman" w:eastAsia="仿宋_GB2312" w:cs="Times New Roman"/>
          <w:color w:val="auto"/>
          <w:spacing w:val="18"/>
          <w:sz w:val="32"/>
          <w:szCs w:val="32"/>
        </w:rPr>
        <w:sectPr>
          <w:pgSz w:w="16838" w:h="11906" w:orient="landscape"/>
          <w:pgMar w:top="1474" w:right="1474" w:bottom="1474" w:left="1474" w:header="851" w:footer="1134" w:gutter="0"/>
          <w:pgNumType w:fmt="decimal"/>
          <w:cols w:space="720" w:num="1"/>
          <w:docGrid w:type="lines" w:linePitch="312" w:charSpace="0"/>
        </w:sectPr>
      </w:pPr>
    </w:p>
    <w:p>
      <w:pPr>
        <w:autoSpaceDE/>
        <w:autoSpaceDN/>
        <w:spacing w:before="104" w:line="425" w:lineRule="exact"/>
        <w:ind w:left="69"/>
        <w:rPr>
          <w:rFonts w:ascii="Times New Roman" w:hAnsi="Times New Roman" w:eastAsia="方正黑体_GBK" w:cs="Times New Roman"/>
          <w:color w:val="auto"/>
          <w:sz w:val="32"/>
          <w:szCs w:val="32"/>
        </w:rPr>
      </w:pPr>
      <w:r>
        <w:rPr>
          <w:rFonts w:ascii="Times New Roman" w:hAnsi="Times New Roman" w:eastAsia="方正黑体_GBK" w:cs="Times New Roman"/>
          <w:color w:val="auto"/>
          <w:sz w:val="32"/>
          <w:szCs w:val="32"/>
        </w:rPr>
        <w:t>附件</w:t>
      </w:r>
      <w:r>
        <w:rPr>
          <w:rFonts w:hint="eastAsia" w:ascii="Times New Roman" w:hAnsi="Times New Roman" w:eastAsia="方正黑体_GBK" w:cs="Times New Roman"/>
          <w:color w:val="auto"/>
          <w:sz w:val="32"/>
          <w:szCs w:val="32"/>
        </w:rPr>
        <w:t>9</w:t>
      </w:r>
    </w:p>
    <w:p>
      <w:pPr>
        <w:autoSpaceDE/>
        <w:autoSpaceDN/>
        <w:spacing w:before="468" w:beforeLines="150" w:after="468" w:afterLines="150" w:line="600" w:lineRule="exact"/>
        <w:jc w:val="center"/>
        <w:rPr>
          <w:rFonts w:ascii="Times New Roman" w:hAnsi="Times New Roman" w:eastAsia="方正小标宋_GBK" w:cs="Times New Roman"/>
          <w:color w:val="auto"/>
          <w:sz w:val="44"/>
          <w:szCs w:val="44"/>
        </w:rPr>
      </w:pPr>
      <w:r>
        <w:rPr>
          <w:rFonts w:ascii="Times New Roman" w:hAnsi="Times New Roman" w:eastAsia="方正小标宋_GBK" w:cs="Times New Roman"/>
          <w:color w:val="auto"/>
          <w:sz w:val="44"/>
          <w:szCs w:val="44"/>
        </w:rPr>
        <w:t>单位整体支出绩效自评工作考核评分表</w:t>
      </w:r>
    </w:p>
    <w:tbl>
      <w:tblPr>
        <w:tblStyle w:val="11"/>
        <w:tblW w:w="935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113"/>
        <w:gridCol w:w="4689"/>
        <w:gridCol w:w="28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712" w:type="dxa"/>
            <w:vAlign w:val="center"/>
          </w:tcPr>
          <w:p>
            <w:pPr>
              <w:autoSpaceDE/>
              <w:autoSpaceDN/>
              <w:spacing w:line="340" w:lineRule="exact"/>
              <w:jc w:val="center"/>
              <w:rPr>
                <w:rFonts w:hint="eastAsia" w:ascii="Times New Roman" w:hAnsi="Times New Roman" w:eastAsia="方正仿宋_GBK" w:cs="方正仿宋_GBK"/>
                <w:b/>
                <w:color w:val="auto"/>
              </w:rPr>
            </w:pPr>
            <w:r>
              <w:rPr>
                <w:rFonts w:hint="eastAsia" w:ascii="Times New Roman" w:hAnsi="Times New Roman" w:eastAsia="方正仿宋_GBK" w:cs="方正仿宋_GBK"/>
                <w:b/>
                <w:color w:val="auto"/>
              </w:rPr>
              <w:t>一级指标</w:t>
            </w:r>
          </w:p>
        </w:tc>
        <w:tc>
          <w:tcPr>
            <w:tcW w:w="1113" w:type="dxa"/>
            <w:vAlign w:val="center"/>
          </w:tcPr>
          <w:p>
            <w:pPr>
              <w:autoSpaceDE/>
              <w:autoSpaceDN/>
              <w:spacing w:line="340" w:lineRule="exact"/>
              <w:jc w:val="center"/>
              <w:rPr>
                <w:rFonts w:hint="eastAsia" w:ascii="Times New Roman" w:hAnsi="Times New Roman" w:eastAsia="方正仿宋_GBK" w:cs="方正仿宋_GBK"/>
                <w:b/>
                <w:color w:val="auto"/>
              </w:rPr>
            </w:pPr>
            <w:r>
              <w:rPr>
                <w:rFonts w:hint="eastAsia" w:ascii="Times New Roman" w:hAnsi="Times New Roman" w:eastAsia="方正仿宋_GBK" w:cs="方正仿宋_GBK"/>
                <w:b/>
                <w:color w:val="auto"/>
              </w:rPr>
              <w:t>二级指标</w:t>
            </w:r>
          </w:p>
        </w:tc>
        <w:tc>
          <w:tcPr>
            <w:tcW w:w="4689" w:type="dxa"/>
            <w:vAlign w:val="center"/>
          </w:tcPr>
          <w:p>
            <w:pPr>
              <w:autoSpaceDE/>
              <w:autoSpaceDN/>
              <w:spacing w:line="340" w:lineRule="exact"/>
              <w:jc w:val="center"/>
              <w:rPr>
                <w:rFonts w:hint="eastAsia" w:ascii="Times New Roman" w:hAnsi="Times New Roman" w:eastAsia="方正仿宋_GBK" w:cs="方正仿宋_GBK"/>
                <w:b/>
                <w:color w:val="auto"/>
              </w:rPr>
            </w:pPr>
            <w:r>
              <w:rPr>
                <w:rFonts w:hint="eastAsia" w:ascii="Times New Roman" w:hAnsi="Times New Roman" w:eastAsia="方正仿宋_GBK" w:cs="方正仿宋_GBK"/>
                <w:b/>
                <w:color w:val="auto"/>
              </w:rPr>
              <w:t>评分标准</w:t>
            </w:r>
          </w:p>
        </w:tc>
        <w:tc>
          <w:tcPr>
            <w:tcW w:w="2840" w:type="dxa"/>
            <w:vAlign w:val="center"/>
          </w:tcPr>
          <w:p>
            <w:pPr>
              <w:autoSpaceDE/>
              <w:autoSpaceDN/>
              <w:spacing w:line="340" w:lineRule="exact"/>
              <w:jc w:val="center"/>
              <w:rPr>
                <w:rFonts w:hint="eastAsia" w:ascii="Times New Roman" w:hAnsi="Times New Roman" w:eastAsia="方正仿宋_GBK" w:cs="方正仿宋_GBK"/>
                <w:b/>
                <w:color w:val="auto"/>
              </w:rPr>
            </w:pPr>
            <w:r>
              <w:rPr>
                <w:rFonts w:hint="eastAsia" w:ascii="Times New Roman" w:hAnsi="Times New Roman" w:eastAsia="方正仿宋_GBK" w:cs="方正仿宋_GBK"/>
                <w:b/>
                <w:color w:val="auto"/>
              </w:rPr>
              <w:t>所需佐证材料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2" w:type="dxa"/>
            <w:vMerge w:val="restart"/>
            <w:vAlign w:val="center"/>
          </w:tcPr>
          <w:p>
            <w:pPr>
              <w:autoSpaceDE/>
              <w:autoSpaceDN/>
              <w:spacing w:line="340" w:lineRule="exact"/>
              <w:jc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布置工作</w:t>
            </w:r>
          </w:p>
          <w:p>
            <w:pPr>
              <w:autoSpaceDE/>
              <w:autoSpaceDN/>
              <w:spacing w:line="340" w:lineRule="exact"/>
              <w:jc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（5）</w:t>
            </w:r>
          </w:p>
        </w:tc>
        <w:tc>
          <w:tcPr>
            <w:tcW w:w="1113" w:type="dxa"/>
            <w:vAlign w:val="center"/>
          </w:tcPr>
          <w:p>
            <w:pPr>
              <w:autoSpaceDE/>
              <w:autoSpaceDN/>
              <w:spacing w:line="340" w:lineRule="exact"/>
              <w:jc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自评通知</w:t>
            </w:r>
          </w:p>
          <w:p>
            <w:pPr>
              <w:autoSpaceDE/>
              <w:autoSpaceDN/>
              <w:spacing w:line="340" w:lineRule="exact"/>
              <w:jc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（3分）</w:t>
            </w:r>
          </w:p>
        </w:tc>
        <w:tc>
          <w:tcPr>
            <w:tcW w:w="4689" w:type="dxa"/>
            <w:vAlign w:val="center"/>
          </w:tcPr>
          <w:p>
            <w:pPr>
              <w:autoSpaceDE/>
              <w:autoSpaceDN/>
              <w:spacing w:line="340" w:lineRule="exact"/>
              <w:jc w:val="both"/>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组织本单位内设部门开展绩效自评，有相关文件的得3分，否则不得分。</w:t>
            </w:r>
          </w:p>
        </w:tc>
        <w:tc>
          <w:tcPr>
            <w:tcW w:w="2840" w:type="dxa"/>
            <w:vAlign w:val="center"/>
          </w:tcPr>
          <w:p>
            <w:pPr>
              <w:autoSpaceDE/>
              <w:autoSpaceDN/>
              <w:spacing w:line="340" w:lineRule="exact"/>
              <w:jc w:val="both"/>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绩效自评通知盖章的电子版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2" w:type="dxa"/>
            <w:vMerge w:val="continue"/>
            <w:vAlign w:val="center"/>
          </w:tcPr>
          <w:p>
            <w:pPr>
              <w:autoSpaceDE/>
              <w:autoSpaceDN/>
              <w:spacing w:line="340" w:lineRule="exact"/>
              <w:jc w:val="center"/>
              <w:rPr>
                <w:rFonts w:hint="eastAsia" w:ascii="Times New Roman" w:hAnsi="Times New Roman" w:eastAsia="方正仿宋_GBK" w:cs="方正仿宋_GBK"/>
                <w:color w:val="auto"/>
                <w:sz w:val="20"/>
                <w:szCs w:val="20"/>
              </w:rPr>
            </w:pPr>
          </w:p>
        </w:tc>
        <w:tc>
          <w:tcPr>
            <w:tcW w:w="1113" w:type="dxa"/>
            <w:vAlign w:val="center"/>
          </w:tcPr>
          <w:p>
            <w:pPr>
              <w:autoSpaceDE/>
              <w:autoSpaceDN/>
              <w:spacing w:line="340" w:lineRule="exact"/>
              <w:jc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工作小组</w:t>
            </w:r>
          </w:p>
          <w:p>
            <w:pPr>
              <w:autoSpaceDE/>
              <w:autoSpaceDN/>
              <w:spacing w:line="340" w:lineRule="exact"/>
              <w:jc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（2分）</w:t>
            </w:r>
          </w:p>
        </w:tc>
        <w:tc>
          <w:tcPr>
            <w:tcW w:w="4689" w:type="dxa"/>
            <w:vAlign w:val="center"/>
          </w:tcPr>
          <w:p>
            <w:pPr>
              <w:autoSpaceDE/>
              <w:autoSpaceDN/>
              <w:spacing w:line="340" w:lineRule="exact"/>
              <w:jc w:val="both"/>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成立绩效自评工作小组的得2分，否则不得分。</w:t>
            </w:r>
          </w:p>
        </w:tc>
        <w:tc>
          <w:tcPr>
            <w:tcW w:w="2840" w:type="dxa"/>
            <w:vAlign w:val="center"/>
          </w:tcPr>
          <w:p>
            <w:pPr>
              <w:autoSpaceDE/>
              <w:autoSpaceDN/>
              <w:spacing w:line="340" w:lineRule="exact"/>
              <w:jc w:val="both"/>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本单位预算绩效管理领导小组/绩效评价工作小组有关文件盖章的电子版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2" w:type="dxa"/>
            <w:vMerge w:val="restart"/>
            <w:vAlign w:val="center"/>
          </w:tcPr>
          <w:p>
            <w:pPr>
              <w:autoSpaceDE/>
              <w:autoSpaceDN/>
              <w:spacing w:line="340" w:lineRule="exact"/>
              <w:jc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绩效管理基础工作</w:t>
            </w:r>
          </w:p>
          <w:p>
            <w:pPr>
              <w:autoSpaceDE/>
              <w:autoSpaceDN/>
              <w:spacing w:line="340" w:lineRule="exact"/>
              <w:jc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lang w:bidi="ar"/>
              </w:rPr>
              <w:t>10分</w:t>
            </w:r>
          </w:p>
        </w:tc>
        <w:tc>
          <w:tcPr>
            <w:tcW w:w="1113" w:type="dxa"/>
            <w:vAlign w:val="center"/>
          </w:tcPr>
          <w:p>
            <w:pPr>
              <w:autoSpaceDE/>
              <w:autoSpaceDN/>
              <w:spacing w:line="340" w:lineRule="exact"/>
              <w:jc w:val="center"/>
              <w:textAlignment w:val="center"/>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lang w:bidi="ar"/>
              </w:rPr>
              <w:t>绩效目标</w:t>
            </w:r>
          </w:p>
          <w:p>
            <w:pPr>
              <w:autoSpaceDE/>
              <w:autoSpaceDN/>
              <w:spacing w:line="340" w:lineRule="exact"/>
              <w:jc w:val="center"/>
              <w:textAlignment w:val="center"/>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lang w:bidi="ar"/>
              </w:rPr>
              <w:t>管理</w:t>
            </w:r>
          </w:p>
          <w:p>
            <w:pPr>
              <w:autoSpaceDE/>
              <w:autoSpaceDN/>
              <w:spacing w:line="340" w:lineRule="exact"/>
              <w:jc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lang w:bidi="ar"/>
              </w:rPr>
              <w:t>（5分）</w:t>
            </w:r>
          </w:p>
        </w:tc>
        <w:tc>
          <w:tcPr>
            <w:tcW w:w="4689" w:type="dxa"/>
            <w:vAlign w:val="center"/>
          </w:tcPr>
          <w:p>
            <w:pPr>
              <w:autoSpaceDE/>
              <w:autoSpaceDN/>
              <w:spacing w:line="340" w:lineRule="exact"/>
              <w:jc w:val="both"/>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每个单位均要按要求开展绩效自查，对照年初绩效目标批复表，完成绩效评价，计1分；</w:t>
            </w:r>
            <w:r>
              <w:rPr>
                <w:rFonts w:hint="eastAsia" w:ascii="Times New Roman" w:hAnsi="Times New Roman" w:eastAsia="方正仿宋_GBK" w:cs="方正仿宋_GBK"/>
                <w:color w:val="auto"/>
                <w:sz w:val="20"/>
                <w:szCs w:val="20"/>
                <w:lang w:bidi="ar"/>
              </w:rPr>
              <w:t>有专项资金的直属机构应积极对接归口管理处室获取绩效目标分解表的，计2分；积极主动对接归口管理处室，并汇总绩效目标表的，计2分。</w:t>
            </w:r>
          </w:p>
        </w:tc>
        <w:tc>
          <w:tcPr>
            <w:tcW w:w="2840" w:type="dxa"/>
            <w:vAlign w:val="center"/>
          </w:tcPr>
          <w:p>
            <w:pPr>
              <w:autoSpaceDE/>
              <w:autoSpaceDN/>
              <w:spacing w:line="340" w:lineRule="exact"/>
              <w:jc w:val="both"/>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绩效目标汇总表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2" w:type="dxa"/>
            <w:vMerge w:val="continue"/>
            <w:vAlign w:val="center"/>
          </w:tcPr>
          <w:p>
            <w:pPr>
              <w:autoSpaceDE/>
              <w:autoSpaceDN/>
              <w:spacing w:line="340" w:lineRule="exact"/>
              <w:jc w:val="center"/>
              <w:rPr>
                <w:rFonts w:hint="eastAsia" w:ascii="Times New Roman" w:hAnsi="Times New Roman" w:eastAsia="方正仿宋_GBK" w:cs="方正仿宋_GBK"/>
                <w:color w:val="auto"/>
                <w:sz w:val="20"/>
                <w:szCs w:val="20"/>
              </w:rPr>
            </w:pPr>
          </w:p>
        </w:tc>
        <w:tc>
          <w:tcPr>
            <w:tcW w:w="1113" w:type="dxa"/>
            <w:vAlign w:val="center"/>
          </w:tcPr>
          <w:p>
            <w:pPr>
              <w:autoSpaceDE/>
              <w:autoSpaceDN/>
              <w:spacing w:line="340" w:lineRule="exact"/>
              <w:jc w:val="center"/>
              <w:textAlignment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项目管理</w:t>
            </w:r>
          </w:p>
          <w:p>
            <w:pPr>
              <w:autoSpaceDE/>
              <w:autoSpaceDN/>
              <w:spacing w:line="340" w:lineRule="exact"/>
              <w:jc w:val="center"/>
              <w:textAlignment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情况</w:t>
            </w:r>
          </w:p>
          <w:p>
            <w:pPr>
              <w:autoSpaceDE/>
              <w:autoSpaceDN/>
              <w:spacing w:line="340" w:lineRule="exact"/>
              <w:jc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lang w:bidi="ar"/>
              </w:rPr>
              <w:t>（5分）</w:t>
            </w:r>
          </w:p>
        </w:tc>
        <w:tc>
          <w:tcPr>
            <w:tcW w:w="4689" w:type="dxa"/>
            <w:vAlign w:val="center"/>
          </w:tcPr>
          <w:p>
            <w:pPr>
              <w:autoSpaceDE/>
              <w:autoSpaceDN/>
              <w:spacing w:line="340" w:lineRule="exact"/>
              <w:jc w:val="both"/>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lang w:bidi="ar"/>
              </w:rPr>
              <w:t>制定发文的项目管理制度，制度应包含项目的绩效目标设置、资金分配、分配因素、项目绩效管理、项目验收、资料归档等方面的内容，全部包含计5分，每发现缺少一项扣1分，扣完为止。</w:t>
            </w:r>
          </w:p>
        </w:tc>
        <w:tc>
          <w:tcPr>
            <w:tcW w:w="2840" w:type="dxa"/>
            <w:vAlign w:val="center"/>
          </w:tcPr>
          <w:p>
            <w:pPr>
              <w:autoSpaceDE/>
              <w:autoSpaceDN/>
              <w:spacing w:line="340" w:lineRule="exact"/>
              <w:jc w:val="both"/>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lang w:bidi="ar"/>
              </w:rPr>
              <w:t>项目管理制度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2" w:type="dxa"/>
            <w:vMerge w:val="restart"/>
            <w:vAlign w:val="center"/>
          </w:tcPr>
          <w:p>
            <w:pPr>
              <w:autoSpaceDE/>
              <w:autoSpaceDN/>
              <w:spacing w:line="340" w:lineRule="exact"/>
              <w:jc w:val="center"/>
              <w:textAlignment w:val="center"/>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lang w:bidi="ar"/>
              </w:rPr>
              <w:t>绩效运行监控情况</w:t>
            </w:r>
          </w:p>
          <w:p>
            <w:pPr>
              <w:autoSpaceDE/>
              <w:autoSpaceDN/>
              <w:spacing w:line="340" w:lineRule="exact"/>
              <w:jc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lang w:bidi="ar"/>
              </w:rPr>
              <w:t>（5分）</w:t>
            </w:r>
          </w:p>
        </w:tc>
        <w:tc>
          <w:tcPr>
            <w:tcW w:w="1113" w:type="dxa"/>
            <w:vAlign w:val="center"/>
          </w:tcPr>
          <w:p>
            <w:pPr>
              <w:autoSpaceDE/>
              <w:autoSpaceDN/>
              <w:spacing w:line="340" w:lineRule="exact"/>
              <w:jc w:val="center"/>
              <w:textAlignment w:val="center"/>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lang w:bidi="ar"/>
              </w:rPr>
              <w:t>监控执行性（2分）</w:t>
            </w:r>
          </w:p>
        </w:tc>
        <w:tc>
          <w:tcPr>
            <w:tcW w:w="4689" w:type="dxa"/>
            <w:vAlign w:val="center"/>
          </w:tcPr>
          <w:p>
            <w:pPr>
              <w:autoSpaceDE/>
              <w:autoSpaceDN/>
              <w:spacing w:line="340" w:lineRule="exact"/>
              <w:jc w:val="both"/>
              <w:textAlignment w:val="center"/>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lang w:bidi="ar"/>
              </w:rPr>
              <w:t>是否在规定时间内提交预算执行进度和绩效目标完成情况“双监控”表格的，每推迟1个工作日扣1分，扣完为止。</w:t>
            </w:r>
          </w:p>
        </w:tc>
        <w:tc>
          <w:tcPr>
            <w:tcW w:w="2840" w:type="dxa"/>
            <w:vMerge w:val="restart"/>
            <w:vAlign w:val="center"/>
          </w:tcPr>
          <w:p>
            <w:pPr>
              <w:autoSpaceDE/>
              <w:autoSpaceDN/>
              <w:spacing w:line="340" w:lineRule="exact"/>
              <w:jc w:val="both"/>
              <w:textAlignment w:val="center"/>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lang w:bidi="ar"/>
              </w:rPr>
              <w:t>2023年度绩效运行监控报告、绩效运行监控表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2" w:type="dxa"/>
            <w:vMerge w:val="continue"/>
            <w:vAlign w:val="center"/>
          </w:tcPr>
          <w:p>
            <w:pPr>
              <w:autoSpaceDE/>
              <w:autoSpaceDN/>
              <w:spacing w:line="340" w:lineRule="exact"/>
              <w:jc w:val="center"/>
              <w:rPr>
                <w:rFonts w:hint="eastAsia" w:ascii="Times New Roman" w:hAnsi="Times New Roman" w:eastAsia="方正仿宋_GBK" w:cs="方正仿宋_GBK"/>
                <w:color w:val="auto"/>
                <w:sz w:val="20"/>
                <w:szCs w:val="20"/>
                <w:lang w:bidi="ar"/>
              </w:rPr>
            </w:pPr>
          </w:p>
        </w:tc>
        <w:tc>
          <w:tcPr>
            <w:tcW w:w="1113" w:type="dxa"/>
            <w:vAlign w:val="center"/>
          </w:tcPr>
          <w:p>
            <w:pPr>
              <w:autoSpaceDE/>
              <w:autoSpaceDN/>
              <w:spacing w:line="340" w:lineRule="exact"/>
              <w:jc w:val="center"/>
              <w:textAlignment w:val="center"/>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lang w:bidi="ar"/>
              </w:rPr>
              <w:t>监控有效性（3分）</w:t>
            </w:r>
          </w:p>
        </w:tc>
        <w:tc>
          <w:tcPr>
            <w:tcW w:w="4689" w:type="dxa"/>
            <w:vAlign w:val="center"/>
          </w:tcPr>
          <w:p>
            <w:pPr>
              <w:kinsoku/>
              <w:autoSpaceDE/>
              <w:autoSpaceDN/>
              <w:adjustRightInd/>
              <w:snapToGrid/>
              <w:spacing w:line="340" w:lineRule="exact"/>
              <w:jc w:val="both"/>
              <w:textAlignment w:val="center"/>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lang w:bidi="ar"/>
              </w:rPr>
              <w:t>①是否存在未经批复随意改动绩效指标的情况，如有扣1分；</w:t>
            </w:r>
          </w:p>
          <w:p>
            <w:pPr>
              <w:kinsoku/>
              <w:autoSpaceDE/>
              <w:autoSpaceDN/>
              <w:adjustRightInd/>
              <w:snapToGrid/>
              <w:spacing w:line="340" w:lineRule="exact"/>
              <w:jc w:val="both"/>
              <w:textAlignment w:val="center"/>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lang w:bidi="ar"/>
              </w:rPr>
              <w:t>②绩效目标有偏差，未对偏差原因进行分析，提出整改措施的，每发现一项扣1分，扣完为止。</w:t>
            </w:r>
          </w:p>
        </w:tc>
        <w:tc>
          <w:tcPr>
            <w:tcW w:w="2840" w:type="dxa"/>
            <w:vMerge w:val="continue"/>
            <w:vAlign w:val="center"/>
          </w:tcPr>
          <w:p>
            <w:pPr>
              <w:kinsoku/>
              <w:autoSpaceDE/>
              <w:autoSpaceDN/>
              <w:adjustRightInd/>
              <w:snapToGrid/>
              <w:spacing w:line="340" w:lineRule="exact"/>
              <w:jc w:val="both"/>
              <w:textAlignment w:val="center"/>
              <w:rPr>
                <w:rFonts w:hint="eastAsia" w:ascii="Times New Roman" w:hAnsi="Times New Roman" w:eastAsia="方正仿宋_GBK" w:cs="方正仿宋_GBK"/>
                <w:color w:val="auto"/>
                <w:sz w:val="20"/>
                <w:szCs w:val="20"/>
                <w:lang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62" w:hRule="atLeast"/>
          <w:jc w:val="center"/>
        </w:trPr>
        <w:tc>
          <w:tcPr>
            <w:tcW w:w="712" w:type="dxa"/>
            <w:vMerge w:val="restart"/>
            <w:vAlign w:val="center"/>
          </w:tcPr>
          <w:p>
            <w:pPr>
              <w:autoSpaceDE/>
              <w:autoSpaceDN/>
              <w:spacing w:line="340" w:lineRule="exact"/>
              <w:jc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资金绩效情况</w:t>
            </w:r>
          </w:p>
          <w:p>
            <w:pPr>
              <w:autoSpaceDE/>
              <w:autoSpaceDN/>
              <w:spacing w:line="340" w:lineRule="exact"/>
              <w:jc w:val="center"/>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lang w:bidi="ar"/>
              </w:rPr>
              <w:t>10分</w:t>
            </w:r>
          </w:p>
        </w:tc>
        <w:tc>
          <w:tcPr>
            <w:tcW w:w="1113" w:type="dxa"/>
            <w:vAlign w:val="center"/>
          </w:tcPr>
          <w:p>
            <w:pPr>
              <w:autoSpaceDE/>
              <w:autoSpaceDN/>
              <w:spacing w:line="340" w:lineRule="exact"/>
              <w:jc w:val="center"/>
              <w:textAlignment w:val="center"/>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lang w:bidi="ar"/>
              </w:rPr>
              <w:t>预算执行</w:t>
            </w:r>
          </w:p>
          <w:p>
            <w:pPr>
              <w:autoSpaceDE/>
              <w:autoSpaceDN/>
              <w:spacing w:line="340" w:lineRule="exact"/>
              <w:jc w:val="center"/>
              <w:textAlignment w:val="center"/>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lang w:bidi="ar"/>
              </w:rPr>
              <w:t>情况</w:t>
            </w:r>
          </w:p>
          <w:p>
            <w:pPr>
              <w:autoSpaceDE/>
              <w:autoSpaceDN/>
              <w:spacing w:line="340" w:lineRule="exact"/>
              <w:jc w:val="center"/>
              <w:textAlignment w:val="center"/>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lang w:bidi="ar"/>
              </w:rPr>
              <w:t>（5分）</w:t>
            </w:r>
          </w:p>
        </w:tc>
        <w:tc>
          <w:tcPr>
            <w:tcW w:w="4689" w:type="dxa"/>
            <w:vAlign w:val="center"/>
          </w:tcPr>
          <w:p>
            <w:pPr>
              <w:kinsoku/>
              <w:autoSpaceDE/>
              <w:autoSpaceDN/>
              <w:adjustRightInd/>
              <w:snapToGrid/>
              <w:spacing w:line="340" w:lineRule="exact"/>
              <w:jc w:val="both"/>
              <w:textAlignment w:val="center"/>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lang w:bidi="ar"/>
              </w:rPr>
              <w:t>预算执行率超过90%，计5分；预算执行率在80%-90%之间，扣3分；预算执行率低于80%，扣5分。</w:t>
            </w:r>
          </w:p>
        </w:tc>
        <w:tc>
          <w:tcPr>
            <w:tcW w:w="2840" w:type="dxa"/>
            <w:vAlign w:val="center"/>
          </w:tcPr>
          <w:p>
            <w:pPr>
              <w:autoSpaceDE/>
              <w:autoSpaceDN/>
              <w:spacing w:line="340" w:lineRule="exact"/>
              <w:jc w:val="both"/>
              <w:textAlignment w:val="center"/>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lang w:bidi="ar"/>
              </w:rPr>
              <w:t>按2023年度单位整体支出绩效自评表中预算执行数及实际执行情况计分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264" w:hRule="atLeast"/>
          <w:jc w:val="center"/>
        </w:trPr>
        <w:tc>
          <w:tcPr>
            <w:tcW w:w="712" w:type="dxa"/>
            <w:vMerge w:val="continue"/>
            <w:vAlign w:val="center"/>
          </w:tcPr>
          <w:p>
            <w:pPr>
              <w:autoSpaceDE/>
              <w:autoSpaceDN/>
              <w:spacing w:line="340" w:lineRule="exact"/>
              <w:jc w:val="center"/>
              <w:rPr>
                <w:rFonts w:hint="eastAsia" w:ascii="Times New Roman" w:hAnsi="Times New Roman" w:eastAsia="方正仿宋_GBK" w:cs="方正仿宋_GBK"/>
                <w:color w:val="auto"/>
                <w:sz w:val="20"/>
                <w:szCs w:val="20"/>
                <w:lang w:bidi="ar"/>
              </w:rPr>
            </w:pPr>
          </w:p>
        </w:tc>
        <w:tc>
          <w:tcPr>
            <w:tcW w:w="1113" w:type="dxa"/>
            <w:vAlign w:val="center"/>
          </w:tcPr>
          <w:p>
            <w:pPr>
              <w:autoSpaceDE/>
              <w:autoSpaceDN/>
              <w:spacing w:line="340" w:lineRule="exact"/>
              <w:jc w:val="center"/>
              <w:textAlignment w:val="center"/>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lang w:bidi="ar"/>
              </w:rPr>
              <w:t>资金使用</w:t>
            </w:r>
          </w:p>
          <w:p>
            <w:pPr>
              <w:autoSpaceDE/>
              <w:autoSpaceDN/>
              <w:spacing w:line="340" w:lineRule="exact"/>
              <w:jc w:val="center"/>
              <w:textAlignment w:val="center"/>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lang w:bidi="ar"/>
              </w:rPr>
              <w:t>情况</w:t>
            </w:r>
          </w:p>
          <w:p>
            <w:pPr>
              <w:autoSpaceDE/>
              <w:autoSpaceDN/>
              <w:spacing w:line="340" w:lineRule="exact"/>
              <w:jc w:val="center"/>
              <w:textAlignment w:val="center"/>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lang w:bidi="ar"/>
              </w:rPr>
              <w:t>（5分）</w:t>
            </w:r>
          </w:p>
        </w:tc>
        <w:tc>
          <w:tcPr>
            <w:tcW w:w="4689" w:type="dxa"/>
            <w:vAlign w:val="center"/>
          </w:tcPr>
          <w:p>
            <w:pPr>
              <w:kinsoku/>
              <w:autoSpaceDE/>
              <w:autoSpaceDN/>
              <w:adjustRightInd/>
              <w:snapToGrid/>
              <w:spacing w:line="340" w:lineRule="exact"/>
              <w:jc w:val="both"/>
              <w:textAlignment w:val="center"/>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lang w:bidi="ar"/>
              </w:rPr>
              <w:t>①是否违反财经法规和单位财务管理制度、专项资金管理办法、绩效管理办法、政府采购法、预算批复等规定，每发现一处扣1分；②是否存在截留、挤占、挪用、虚列支出等情况，每发现一处扣1分；③专项资金是否专项核算，每发现一处扣1分；扣完为止。</w:t>
            </w:r>
          </w:p>
        </w:tc>
        <w:tc>
          <w:tcPr>
            <w:tcW w:w="2840" w:type="dxa"/>
            <w:vAlign w:val="center"/>
          </w:tcPr>
          <w:p>
            <w:pPr>
              <w:kinsoku/>
              <w:autoSpaceDE/>
              <w:autoSpaceDN/>
              <w:adjustRightInd/>
              <w:snapToGrid/>
              <w:spacing w:line="340" w:lineRule="exact"/>
              <w:jc w:val="both"/>
              <w:textAlignment w:val="center"/>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lang w:bidi="ar"/>
              </w:rPr>
              <w:t>按资料检查和现场检查情况计分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77" w:hRule="atLeast"/>
          <w:jc w:val="center"/>
        </w:trPr>
        <w:tc>
          <w:tcPr>
            <w:tcW w:w="712" w:type="dxa"/>
            <w:vMerge w:val="restart"/>
            <w:vAlign w:val="center"/>
          </w:tcPr>
          <w:p>
            <w:pPr>
              <w:autoSpaceDE/>
              <w:autoSpaceDN/>
              <w:spacing w:line="340" w:lineRule="exact"/>
              <w:jc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自评报告</w:t>
            </w:r>
          </w:p>
          <w:p>
            <w:pPr>
              <w:autoSpaceDE/>
              <w:autoSpaceDN/>
              <w:spacing w:line="340" w:lineRule="exact"/>
              <w:jc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70分</w:t>
            </w:r>
          </w:p>
        </w:tc>
        <w:tc>
          <w:tcPr>
            <w:tcW w:w="1113" w:type="dxa"/>
            <w:vAlign w:val="center"/>
          </w:tcPr>
          <w:p>
            <w:pPr>
              <w:autoSpaceDE/>
              <w:autoSpaceDN/>
              <w:spacing w:line="340" w:lineRule="exact"/>
              <w:jc w:val="center"/>
              <w:textAlignment w:val="center"/>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lang w:bidi="ar"/>
              </w:rPr>
              <w:t>及时性</w:t>
            </w:r>
          </w:p>
          <w:p>
            <w:pPr>
              <w:autoSpaceDE/>
              <w:autoSpaceDN/>
              <w:spacing w:line="340" w:lineRule="exact"/>
              <w:jc w:val="center"/>
              <w:textAlignment w:val="center"/>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lang w:bidi="ar"/>
              </w:rPr>
              <w:t>（10分）</w:t>
            </w:r>
          </w:p>
        </w:tc>
        <w:tc>
          <w:tcPr>
            <w:tcW w:w="7529" w:type="dxa"/>
            <w:gridSpan w:val="2"/>
            <w:vAlign w:val="center"/>
          </w:tcPr>
          <w:p>
            <w:pPr>
              <w:kinsoku/>
              <w:autoSpaceDE/>
              <w:autoSpaceDN/>
              <w:adjustRightInd/>
              <w:snapToGrid/>
              <w:spacing w:line="340" w:lineRule="exact"/>
              <w:jc w:val="both"/>
              <w:textAlignment w:val="center"/>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rPr>
              <w:t>按时向省局报送报告的得10分；每推迟一个工作日报送报告的扣3分，最多扣10分。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93" w:hRule="atLeast"/>
          <w:jc w:val="center"/>
        </w:trPr>
        <w:tc>
          <w:tcPr>
            <w:tcW w:w="712" w:type="dxa"/>
            <w:vMerge w:val="continue"/>
            <w:vAlign w:val="center"/>
          </w:tcPr>
          <w:p>
            <w:pPr>
              <w:autoSpaceDE/>
              <w:autoSpaceDN/>
              <w:spacing w:line="340" w:lineRule="exact"/>
              <w:jc w:val="center"/>
              <w:rPr>
                <w:rFonts w:hint="eastAsia" w:ascii="Times New Roman" w:hAnsi="Times New Roman" w:eastAsia="方正仿宋_GBK" w:cs="方正仿宋_GBK"/>
                <w:color w:val="auto"/>
                <w:sz w:val="20"/>
                <w:szCs w:val="20"/>
              </w:rPr>
            </w:pPr>
          </w:p>
        </w:tc>
        <w:tc>
          <w:tcPr>
            <w:tcW w:w="1113" w:type="dxa"/>
            <w:vAlign w:val="center"/>
          </w:tcPr>
          <w:p>
            <w:pPr>
              <w:autoSpaceDE/>
              <w:autoSpaceDN/>
              <w:spacing w:line="340" w:lineRule="exact"/>
              <w:jc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完整性</w:t>
            </w:r>
          </w:p>
          <w:p>
            <w:pPr>
              <w:autoSpaceDE/>
              <w:autoSpaceDN/>
              <w:spacing w:line="340" w:lineRule="exact"/>
              <w:jc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（10分）</w:t>
            </w:r>
          </w:p>
        </w:tc>
        <w:tc>
          <w:tcPr>
            <w:tcW w:w="7529" w:type="dxa"/>
            <w:gridSpan w:val="2"/>
            <w:vAlign w:val="center"/>
          </w:tcPr>
          <w:p>
            <w:pPr>
              <w:autoSpaceDE/>
              <w:autoSpaceDN/>
              <w:spacing w:line="340" w:lineRule="exact"/>
              <w:jc w:val="both"/>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1、绩效自评报告正文部分内容齐全的，得5分；否则每少一个部分扣1分，最多扣5分。</w:t>
            </w:r>
          </w:p>
          <w:p>
            <w:pPr>
              <w:autoSpaceDE/>
              <w:autoSpaceDN/>
              <w:spacing w:line="340" w:lineRule="exact"/>
              <w:jc w:val="both"/>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2、绩效自评报告附件部分内容齐全的，得5分；否则每少一个部分扣1分，最多扣5分。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841" w:hRule="atLeast"/>
          <w:jc w:val="center"/>
        </w:trPr>
        <w:tc>
          <w:tcPr>
            <w:tcW w:w="712" w:type="dxa"/>
            <w:vMerge w:val="continue"/>
            <w:vAlign w:val="center"/>
          </w:tcPr>
          <w:p>
            <w:pPr>
              <w:autoSpaceDE/>
              <w:autoSpaceDN/>
              <w:spacing w:line="340" w:lineRule="exact"/>
              <w:jc w:val="center"/>
              <w:rPr>
                <w:rFonts w:hint="eastAsia" w:ascii="Times New Roman" w:hAnsi="Times New Roman" w:eastAsia="方正仿宋_GBK" w:cs="方正仿宋_GBK"/>
                <w:color w:val="auto"/>
                <w:sz w:val="20"/>
                <w:szCs w:val="20"/>
              </w:rPr>
            </w:pPr>
          </w:p>
        </w:tc>
        <w:tc>
          <w:tcPr>
            <w:tcW w:w="1113" w:type="dxa"/>
            <w:vAlign w:val="center"/>
          </w:tcPr>
          <w:p>
            <w:pPr>
              <w:autoSpaceDE/>
              <w:autoSpaceDN/>
              <w:spacing w:line="340" w:lineRule="exact"/>
              <w:jc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绩效</w:t>
            </w:r>
          </w:p>
          <w:p>
            <w:pPr>
              <w:autoSpaceDE/>
              <w:autoSpaceDN/>
              <w:spacing w:line="340" w:lineRule="exact"/>
              <w:jc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自评表</w:t>
            </w:r>
          </w:p>
          <w:p>
            <w:pPr>
              <w:autoSpaceDE/>
              <w:autoSpaceDN/>
              <w:spacing w:line="340" w:lineRule="exact"/>
              <w:jc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（15分）</w:t>
            </w:r>
          </w:p>
        </w:tc>
        <w:tc>
          <w:tcPr>
            <w:tcW w:w="7529" w:type="dxa"/>
            <w:gridSpan w:val="2"/>
            <w:vAlign w:val="center"/>
          </w:tcPr>
          <w:p>
            <w:pPr>
              <w:kinsoku/>
              <w:topLinePunct/>
              <w:autoSpaceDE/>
              <w:autoSpaceDN/>
              <w:spacing w:line="340" w:lineRule="exact"/>
              <w:jc w:val="both"/>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1、单位整体支出和项目支出绩效指标反映产出、效益、服务对象满意度方面的指标和预算执行率的权重符合《湖南省省级预算部门绩效自评操作规程》第八条要求的，得5分，否则按比例扣除相应的分数。</w:t>
            </w:r>
          </w:p>
          <w:p>
            <w:pPr>
              <w:kinsoku/>
              <w:topLinePunct/>
              <w:autoSpaceDE/>
              <w:autoSpaceDN/>
              <w:spacing w:line="340" w:lineRule="exact"/>
              <w:jc w:val="both"/>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2、单位整体支出和项目支出绩效指标全部细化到三级指标的，得5分；部分细化的，酌情扣分；没有细化的，不得分。</w:t>
            </w:r>
          </w:p>
          <w:p>
            <w:pPr>
              <w:kinsoku/>
              <w:topLinePunct/>
              <w:autoSpaceDE/>
              <w:autoSpaceDN/>
              <w:spacing w:line="340" w:lineRule="exact"/>
              <w:jc w:val="both"/>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3、单位整体支出和项目支出三级绩效指标内涵明确、具体、可衡量的得5分；突出核心指标，精简实用的得3分；指标与部门整体支出和项目支出密切相关，全面反映产出和效益的得2分；否则，每项酌情扣分，最多扣5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295" w:hRule="atLeast"/>
          <w:jc w:val="center"/>
        </w:trPr>
        <w:tc>
          <w:tcPr>
            <w:tcW w:w="712" w:type="dxa"/>
            <w:vMerge w:val="continue"/>
            <w:vAlign w:val="center"/>
          </w:tcPr>
          <w:p>
            <w:pPr>
              <w:autoSpaceDE/>
              <w:autoSpaceDN/>
              <w:spacing w:line="340" w:lineRule="exact"/>
              <w:jc w:val="center"/>
              <w:rPr>
                <w:rFonts w:hint="eastAsia" w:ascii="Times New Roman" w:hAnsi="Times New Roman" w:eastAsia="方正仿宋_GBK" w:cs="方正仿宋_GBK"/>
                <w:color w:val="auto"/>
                <w:sz w:val="20"/>
                <w:szCs w:val="20"/>
              </w:rPr>
            </w:pPr>
          </w:p>
        </w:tc>
        <w:tc>
          <w:tcPr>
            <w:tcW w:w="1113" w:type="dxa"/>
            <w:vAlign w:val="center"/>
          </w:tcPr>
          <w:p>
            <w:pPr>
              <w:autoSpaceDE/>
              <w:autoSpaceDN/>
              <w:spacing w:line="340" w:lineRule="exact"/>
              <w:jc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反映问</w:t>
            </w:r>
          </w:p>
          <w:p>
            <w:pPr>
              <w:autoSpaceDE/>
              <w:autoSpaceDN/>
              <w:spacing w:line="340" w:lineRule="exact"/>
              <w:jc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题情况</w:t>
            </w:r>
          </w:p>
          <w:p>
            <w:pPr>
              <w:autoSpaceDE/>
              <w:autoSpaceDN/>
              <w:spacing w:line="340" w:lineRule="exact"/>
              <w:jc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（20分）</w:t>
            </w:r>
          </w:p>
        </w:tc>
        <w:tc>
          <w:tcPr>
            <w:tcW w:w="7529" w:type="dxa"/>
            <w:gridSpan w:val="2"/>
            <w:vAlign w:val="center"/>
          </w:tcPr>
          <w:p>
            <w:pPr>
              <w:kinsoku/>
              <w:autoSpaceDE/>
              <w:autoSpaceDN/>
              <w:spacing w:line="340" w:lineRule="exact"/>
              <w:jc w:val="both"/>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从预算和预算绩效管理，单位履职效能，资金分配、使用和管理，资产和财务管理，政府采购等方面归纳问题、分析原因，每1条问题应对应1条原因分析，每提出1条问题、1条原因分析的得5分；只提出资金不足问题的不得分，其他情况酌情扣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49" w:hRule="atLeast"/>
          <w:jc w:val="center"/>
        </w:trPr>
        <w:tc>
          <w:tcPr>
            <w:tcW w:w="712" w:type="dxa"/>
            <w:vMerge w:val="continue"/>
            <w:vAlign w:val="center"/>
          </w:tcPr>
          <w:p>
            <w:pPr>
              <w:autoSpaceDE/>
              <w:autoSpaceDN/>
              <w:spacing w:line="340" w:lineRule="exact"/>
              <w:jc w:val="center"/>
              <w:rPr>
                <w:rFonts w:hint="eastAsia" w:ascii="Times New Roman" w:hAnsi="Times New Roman" w:eastAsia="方正仿宋_GBK" w:cs="方正仿宋_GBK"/>
                <w:color w:val="auto"/>
                <w:sz w:val="20"/>
                <w:szCs w:val="20"/>
              </w:rPr>
            </w:pPr>
          </w:p>
        </w:tc>
        <w:tc>
          <w:tcPr>
            <w:tcW w:w="1113" w:type="dxa"/>
            <w:vAlign w:val="center"/>
          </w:tcPr>
          <w:p>
            <w:pPr>
              <w:autoSpaceDE/>
              <w:autoSpaceDN/>
              <w:spacing w:line="340" w:lineRule="exact"/>
              <w:jc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建议情况</w:t>
            </w:r>
          </w:p>
          <w:p>
            <w:pPr>
              <w:autoSpaceDE/>
              <w:autoSpaceDN/>
              <w:spacing w:line="340" w:lineRule="exact"/>
              <w:jc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（15分）</w:t>
            </w:r>
          </w:p>
        </w:tc>
        <w:tc>
          <w:tcPr>
            <w:tcW w:w="7529" w:type="dxa"/>
            <w:gridSpan w:val="2"/>
            <w:vAlign w:val="center"/>
          </w:tcPr>
          <w:p>
            <w:pPr>
              <w:kinsoku/>
              <w:autoSpaceDE/>
              <w:autoSpaceDN/>
              <w:spacing w:line="340" w:lineRule="exact"/>
              <w:jc w:val="both"/>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建议与问题应一一对应，每提出1条建议得5分，只提出加大资金投入建议的不得分；其他情况酌情扣分。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712" w:type="dxa"/>
            <w:vAlign w:val="center"/>
          </w:tcPr>
          <w:p>
            <w:pPr>
              <w:autoSpaceDE/>
              <w:autoSpaceDN/>
              <w:spacing w:line="340" w:lineRule="exact"/>
              <w:jc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合计</w:t>
            </w:r>
          </w:p>
        </w:tc>
        <w:tc>
          <w:tcPr>
            <w:tcW w:w="1113" w:type="dxa"/>
            <w:vAlign w:val="center"/>
          </w:tcPr>
          <w:p>
            <w:pPr>
              <w:autoSpaceDE/>
              <w:autoSpaceDN/>
              <w:spacing w:line="340" w:lineRule="exact"/>
              <w:jc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100分</w:t>
            </w:r>
          </w:p>
        </w:tc>
        <w:tc>
          <w:tcPr>
            <w:tcW w:w="7529" w:type="dxa"/>
            <w:gridSpan w:val="2"/>
            <w:vAlign w:val="center"/>
          </w:tcPr>
          <w:p>
            <w:pPr>
              <w:autoSpaceDE/>
              <w:autoSpaceDN/>
              <w:spacing w:line="340" w:lineRule="exact"/>
              <w:jc w:val="both"/>
              <w:rPr>
                <w:rFonts w:hint="eastAsia" w:ascii="Times New Roman" w:hAnsi="Times New Roman" w:eastAsia="方正仿宋_GBK" w:cs="方正仿宋_GBK"/>
                <w:color w:val="auto"/>
                <w:sz w:val="20"/>
                <w:szCs w:val="20"/>
              </w:rPr>
            </w:pPr>
          </w:p>
        </w:tc>
      </w:tr>
    </w:tbl>
    <w:p>
      <w:pPr>
        <w:autoSpaceDE/>
        <w:autoSpaceDN/>
        <w:rPr>
          <w:rFonts w:ascii="Times New Roman" w:hAnsi="Times New Roman" w:eastAsia="仿宋_GB2312" w:cs="Times New Roman"/>
          <w:color w:val="auto"/>
          <w:spacing w:val="-2"/>
          <w:sz w:val="32"/>
          <w:szCs w:val="32"/>
        </w:rPr>
        <w:sectPr>
          <w:pgSz w:w="11906" w:h="16838"/>
          <w:pgMar w:top="1984" w:right="1474" w:bottom="1474" w:left="1474" w:header="851" w:footer="1134" w:gutter="0"/>
          <w:pgNumType w:fmt="decimal"/>
          <w:cols w:space="720" w:num="1"/>
          <w:docGrid w:type="lines" w:linePitch="312" w:charSpace="0"/>
        </w:sectPr>
      </w:pPr>
    </w:p>
    <w:p>
      <w:pPr>
        <w:autoSpaceDE/>
        <w:autoSpaceDN/>
        <w:spacing w:before="104" w:line="425" w:lineRule="exact"/>
        <w:ind w:left="69"/>
        <w:rPr>
          <w:rFonts w:ascii="Times New Roman" w:hAnsi="Times New Roman" w:eastAsia="方正黑体_GBK" w:cs="Times New Roman"/>
          <w:color w:val="auto"/>
          <w:sz w:val="32"/>
          <w:szCs w:val="32"/>
        </w:rPr>
      </w:pPr>
      <w:r>
        <w:rPr>
          <w:rFonts w:ascii="Times New Roman" w:hAnsi="Times New Roman" w:eastAsia="方正黑体_GBK" w:cs="Times New Roman"/>
          <w:color w:val="auto"/>
          <w:sz w:val="32"/>
          <w:szCs w:val="32"/>
        </w:rPr>
        <w:t>附件10</w:t>
      </w:r>
    </w:p>
    <w:p>
      <w:pPr>
        <w:autoSpaceDE/>
        <w:autoSpaceDN/>
        <w:spacing w:before="478" w:beforeLines="150" w:after="478" w:afterLines="150" w:line="600" w:lineRule="exact"/>
        <w:jc w:val="center"/>
        <w:rPr>
          <w:rFonts w:ascii="Times New Roman" w:hAnsi="Times New Roman" w:eastAsia="方正小标宋_GBK" w:cs="Times New Roman"/>
          <w:color w:val="auto"/>
          <w:sz w:val="44"/>
          <w:szCs w:val="44"/>
        </w:rPr>
      </w:pPr>
      <w:r>
        <w:rPr>
          <w:rFonts w:ascii="Times New Roman" w:hAnsi="Times New Roman" w:eastAsia="方正小标宋_GBK" w:cs="Times New Roman"/>
          <w:color w:val="auto"/>
          <w:sz w:val="44"/>
          <w:szCs w:val="44"/>
        </w:rPr>
        <w:t>预算绩效管理各环节结果应用</w:t>
      </w:r>
      <w:r>
        <w:rPr>
          <w:rFonts w:hint="eastAsia" w:ascii="Times New Roman" w:hAnsi="Times New Roman" w:eastAsia="方正小标宋_GBK" w:cs="Times New Roman"/>
          <w:color w:val="auto"/>
          <w:sz w:val="44"/>
          <w:szCs w:val="44"/>
        </w:rPr>
        <w:t>清单</w:t>
      </w:r>
    </w:p>
    <w:p>
      <w:pPr>
        <w:autoSpaceDE/>
        <w:autoSpaceDN/>
        <w:rPr>
          <w:rFonts w:ascii="Times New Roman" w:hAnsi="Times New Roman" w:eastAsia="方正仿宋_GBK" w:cs="Times New Roman"/>
          <w:color w:val="auto"/>
          <w:spacing w:val="-2"/>
          <w:sz w:val="24"/>
          <w:szCs w:val="24"/>
        </w:rPr>
      </w:pPr>
      <w:r>
        <w:rPr>
          <w:rStyle w:val="21"/>
          <w:rFonts w:hint="default" w:ascii="Times New Roman" w:hAnsi="Times New Roman" w:eastAsia="方正仿宋_GBK" w:cs="Times New Roman"/>
          <w:color w:val="auto"/>
          <w:sz w:val="24"/>
          <w:szCs w:val="24"/>
          <w:lang w:bidi="ar"/>
        </w:rPr>
        <w:t>填报单位：</w:t>
      </w:r>
      <w:r>
        <w:rPr>
          <w:rStyle w:val="21"/>
          <w:rFonts w:hint="eastAsia" w:ascii="Times New Roman" w:hAnsi="Times New Roman" w:eastAsia="方正仿宋_GBK" w:cs="Times New Roman"/>
          <w:color w:val="auto"/>
          <w:sz w:val="24"/>
          <w:szCs w:val="24"/>
          <w:lang w:eastAsia="zh-CN" w:bidi="ar"/>
        </w:rPr>
        <w:t>湖南省网络商品交易监测中心</w:t>
      </w:r>
    </w:p>
    <w:tbl>
      <w:tblPr>
        <w:tblStyle w:val="11"/>
        <w:tblW w:w="14521"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797"/>
        <w:gridCol w:w="2408"/>
        <w:gridCol w:w="10080"/>
        <w:gridCol w:w="1236"/>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797" w:type="dxa"/>
            <w:vAlign w:val="center"/>
          </w:tcPr>
          <w:p>
            <w:pPr>
              <w:autoSpaceDE/>
              <w:autoSpaceDN/>
              <w:spacing w:line="300" w:lineRule="exact"/>
              <w:jc w:val="center"/>
              <w:rPr>
                <w:rFonts w:hint="eastAsia" w:ascii="Times New Roman" w:hAnsi="Times New Roman" w:eastAsia="方正仿宋_GBK" w:cs="方正仿宋_GBK"/>
                <w:b/>
                <w:color w:val="auto"/>
              </w:rPr>
            </w:pPr>
            <w:r>
              <w:rPr>
                <w:rFonts w:hint="eastAsia" w:ascii="Times New Roman" w:hAnsi="Times New Roman" w:eastAsia="方正仿宋_GBK" w:cs="方正仿宋_GBK"/>
                <w:b/>
                <w:color w:val="auto"/>
              </w:rPr>
              <w:t>序号</w:t>
            </w:r>
          </w:p>
        </w:tc>
        <w:tc>
          <w:tcPr>
            <w:tcW w:w="2408" w:type="dxa"/>
            <w:vAlign w:val="center"/>
          </w:tcPr>
          <w:p>
            <w:pPr>
              <w:autoSpaceDE/>
              <w:autoSpaceDN/>
              <w:spacing w:line="300" w:lineRule="exact"/>
              <w:jc w:val="center"/>
              <w:rPr>
                <w:rFonts w:hint="eastAsia" w:ascii="Times New Roman" w:hAnsi="Times New Roman" w:eastAsia="方正仿宋_GBK" w:cs="方正仿宋_GBK"/>
                <w:b/>
                <w:color w:val="auto"/>
              </w:rPr>
            </w:pPr>
            <w:r>
              <w:rPr>
                <w:rFonts w:hint="eastAsia" w:ascii="Times New Roman" w:hAnsi="Times New Roman" w:eastAsia="方正仿宋_GBK" w:cs="方正仿宋_GBK"/>
                <w:b/>
                <w:color w:val="auto"/>
              </w:rPr>
              <w:t>预算绩效管理环节</w:t>
            </w:r>
          </w:p>
        </w:tc>
        <w:tc>
          <w:tcPr>
            <w:tcW w:w="10080" w:type="dxa"/>
            <w:vAlign w:val="center"/>
          </w:tcPr>
          <w:p>
            <w:pPr>
              <w:autoSpaceDE/>
              <w:autoSpaceDN/>
              <w:spacing w:line="300" w:lineRule="exact"/>
              <w:jc w:val="center"/>
              <w:rPr>
                <w:rFonts w:hint="eastAsia" w:ascii="Times New Roman" w:hAnsi="Times New Roman" w:eastAsia="方正仿宋_GBK" w:cs="方正仿宋_GBK"/>
                <w:b/>
                <w:color w:val="auto"/>
              </w:rPr>
            </w:pPr>
            <w:r>
              <w:rPr>
                <w:rFonts w:hint="eastAsia" w:ascii="Times New Roman" w:hAnsi="Times New Roman" w:eastAsia="方正仿宋_GBK" w:cs="方正仿宋_GBK"/>
                <w:b/>
                <w:color w:val="auto"/>
              </w:rPr>
              <w:t>结果应用情况（简述问题及实施的整改情况，包括不限于建设相关制度、采取的措施、改进的经验办法、加强相关方面的管理等）</w:t>
            </w:r>
          </w:p>
        </w:tc>
        <w:tc>
          <w:tcPr>
            <w:tcW w:w="1236" w:type="dxa"/>
            <w:vAlign w:val="center"/>
          </w:tcPr>
          <w:p>
            <w:pPr>
              <w:autoSpaceDE/>
              <w:autoSpaceDN/>
              <w:spacing w:line="300" w:lineRule="exact"/>
              <w:jc w:val="center"/>
              <w:rPr>
                <w:rFonts w:hint="eastAsia" w:ascii="Times New Roman" w:hAnsi="Times New Roman" w:eastAsia="方正仿宋_GBK" w:cs="方正仿宋_GBK"/>
                <w:b/>
                <w:color w:val="auto"/>
              </w:rPr>
            </w:pPr>
            <w:r>
              <w:rPr>
                <w:rFonts w:hint="eastAsia" w:ascii="Times New Roman" w:hAnsi="Times New Roman" w:eastAsia="方正仿宋_GBK" w:cs="方正仿宋_GBK"/>
                <w:b/>
                <w:color w:val="auto"/>
              </w:rPr>
              <w:t>备注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17" w:hRule="atLeast"/>
          <w:jc w:val="center"/>
        </w:trPr>
        <w:tc>
          <w:tcPr>
            <w:tcW w:w="797" w:type="dxa"/>
            <w:vAlign w:val="center"/>
          </w:tcPr>
          <w:p>
            <w:pPr>
              <w:autoSpaceDE/>
              <w:autoSpaceDN/>
              <w:jc w:val="center"/>
              <w:textAlignment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lang w:bidi="ar"/>
              </w:rPr>
              <w:t>1</w:t>
            </w:r>
          </w:p>
        </w:tc>
        <w:tc>
          <w:tcPr>
            <w:tcW w:w="2408" w:type="dxa"/>
            <w:vAlign w:val="center"/>
          </w:tcPr>
          <w:p>
            <w:pPr>
              <w:autoSpaceDE/>
              <w:autoSpaceDN/>
              <w:jc w:val="center"/>
              <w:textAlignment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lang w:bidi="ar"/>
              </w:rPr>
              <w:t>部门整体支出绩效评价</w:t>
            </w:r>
          </w:p>
        </w:tc>
        <w:tc>
          <w:tcPr>
            <w:tcW w:w="10080" w:type="dxa"/>
            <w:vAlign w:val="center"/>
          </w:tcPr>
          <w:p>
            <w:pPr>
              <w:autoSpaceDE/>
              <w:autoSpaceDN/>
              <w:jc w:val="center"/>
              <w:rPr>
                <w:rFonts w:hint="eastAsia" w:ascii="Times New Roman" w:hAnsi="Times New Roman" w:eastAsia="方正仿宋_GBK" w:cs="方正仿宋_GBK"/>
                <w:color w:val="auto"/>
                <w:sz w:val="20"/>
                <w:szCs w:val="20"/>
                <w:lang w:eastAsia="zh-CN"/>
              </w:rPr>
            </w:pPr>
            <w:r>
              <w:rPr>
                <w:rFonts w:hint="eastAsia" w:ascii="Times New Roman" w:hAnsi="Times New Roman" w:eastAsia="方正仿宋_GBK" w:cs="方正仿宋_GBK"/>
                <w:color w:val="auto"/>
                <w:sz w:val="20"/>
                <w:szCs w:val="20"/>
                <w:lang w:eastAsia="zh-CN"/>
              </w:rPr>
              <w:t>无</w:t>
            </w:r>
          </w:p>
        </w:tc>
        <w:tc>
          <w:tcPr>
            <w:tcW w:w="1236" w:type="dxa"/>
            <w:vAlign w:val="center"/>
          </w:tcPr>
          <w:p>
            <w:pPr>
              <w:autoSpaceDE/>
              <w:autoSpaceDN/>
              <w:jc w:val="center"/>
              <w:textAlignment w:val="center"/>
              <w:rPr>
                <w:rFonts w:hint="eastAsia" w:ascii="Times New Roman" w:hAnsi="Times New Roman" w:eastAsia="方正仿宋_GBK" w:cs="方正仿宋_GBK"/>
                <w:color w:val="auto"/>
                <w:sz w:val="20"/>
                <w:szCs w:val="20"/>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62" w:hRule="atLeast"/>
          <w:jc w:val="center"/>
        </w:trPr>
        <w:tc>
          <w:tcPr>
            <w:tcW w:w="797" w:type="dxa"/>
            <w:vAlign w:val="center"/>
          </w:tcPr>
          <w:p>
            <w:pPr>
              <w:autoSpaceDE/>
              <w:autoSpaceDN/>
              <w:jc w:val="center"/>
              <w:textAlignment w:val="center"/>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lang w:bidi="ar"/>
              </w:rPr>
              <w:t>2</w:t>
            </w:r>
          </w:p>
        </w:tc>
        <w:tc>
          <w:tcPr>
            <w:tcW w:w="2408" w:type="dxa"/>
            <w:vAlign w:val="center"/>
          </w:tcPr>
          <w:p>
            <w:pPr>
              <w:autoSpaceDE/>
              <w:autoSpaceDN/>
              <w:jc w:val="center"/>
              <w:textAlignment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lang w:bidi="ar"/>
              </w:rPr>
              <w:t>专项资金绩效评价</w:t>
            </w:r>
          </w:p>
        </w:tc>
        <w:tc>
          <w:tcPr>
            <w:tcW w:w="10080" w:type="dxa"/>
            <w:vAlign w:val="center"/>
          </w:tcPr>
          <w:p>
            <w:pPr>
              <w:autoSpaceDE/>
              <w:autoSpaceDN/>
              <w:jc w:val="center"/>
              <w:rPr>
                <w:rFonts w:hint="eastAsia" w:ascii="Times New Roman" w:hAnsi="Times New Roman" w:eastAsia="方正仿宋_GBK" w:cs="方正仿宋_GBK"/>
                <w:color w:val="auto"/>
                <w:sz w:val="20"/>
                <w:szCs w:val="20"/>
                <w:lang w:eastAsia="zh-CN"/>
              </w:rPr>
            </w:pPr>
            <w:r>
              <w:rPr>
                <w:rFonts w:hint="eastAsia" w:ascii="Times New Roman" w:hAnsi="Times New Roman" w:eastAsia="方正仿宋_GBK" w:cs="方正仿宋_GBK"/>
                <w:color w:val="auto"/>
                <w:sz w:val="20"/>
                <w:szCs w:val="20"/>
                <w:lang w:eastAsia="zh-CN"/>
              </w:rPr>
              <w:t>无</w:t>
            </w:r>
          </w:p>
        </w:tc>
        <w:tc>
          <w:tcPr>
            <w:tcW w:w="1236" w:type="dxa"/>
            <w:vAlign w:val="center"/>
          </w:tcPr>
          <w:p>
            <w:pPr>
              <w:autoSpaceDE/>
              <w:autoSpaceDN/>
              <w:jc w:val="center"/>
              <w:textAlignment w:val="center"/>
              <w:rPr>
                <w:rFonts w:hint="eastAsia" w:ascii="Times New Roman" w:hAnsi="Times New Roman" w:eastAsia="方正仿宋_GBK" w:cs="方正仿宋_GBK"/>
                <w:color w:val="auto"/>
                <w:sz w:val="20"/>
                <w:szCs w:val="20"/>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07" w:hRule="atLeast"/>
          <w:jc w:val="center"/>
        </w:trPr>
        <w:tc>
          <w:tcPr>
            <w:tcW w:w="797" w:type="dxa"/>
            <w:vAlign w:val="center"/>
          </w:tcPr>
          <w:p>
            <w:pPr>
              <w:autoSpaceDE/>
              <w:autoSpaceDN/>
              <w:jc w:val="center"/>
              <w:textAlignment w:val="center"/>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lang w:bidi="ar"/>
              </w:rPr>
              <w:t>3</w:t>
            </w:r>
          </w:p>
        </w:tc>
        <w:tc>
          <w:tcPr>
            <w:tcW w:w="2408" w:type="dxa"/>
            <w:vAlign w:val="center"/>
          </w:tcPr>
          <w:p>
            <w:pPr>
              <w:autoSpaceDE/>
              <w:autoSpaceDN/>
              <w:jc w:val="center"/>
              <w:textAlignment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lang w:bidi="ar"/>
              </w:rPr>
              <w:t>绩效运行监控</w:t>
            </w:r>
          </w:p>
        </w:tc>
        <w:tc>
          <w:tcPr>
            <w:tcW w:w="10080" w:type="dxa"/>
            <w:vAlign w:val="center"/>
          </w:tcPr>
          <w:p>
            <w:pPr>
              <w:autoSpaceDE/>
              <w:autoSpaceDN/>
              <w:jc w:val="center"/>
              <w:rPr>
                <w:rFonts w:hint="eastAsia" w:ascii="Times New Roman" w:hAnsi="Times New Roman" w:eastAsia="方正仿宋_GBK" w:cs="方正仿宋_GBK"/>
                <w:color w:val="auto"/>
                <w:sz w:val="20"/>
                <w:szCs w:val="20"/>
                <w:lang w:eastAsia="zh-CN"/>
              </w:rPr>
            </w:pPr>
            <w:r>
              <w:rPr>
                <w:rFonts w:hint="eastAsia" w:ascii="Times New Roman" w:hAnsi="Times New Roman" w:eastAsia="方正仿宋_GBK" w:cs="方正仿宋_GBK"/>
                <w:color w:val="auto"/>
                <w:sz w:val="20"/>
                <w:szCs w:val="20"/>
                <w:lang w:eastAsia="zh-CN"/>
              </w:rPr>
              <w:t>无</w:t>
            </w:r>
          </w:p>
        </w:tc>
        <w:tc>
          <w:tcPr>
            <w:tcW w:w="1236" w:type="dxa"/>
            <w:vAlign w:val="center"/>
          </w:tcPr>
          <w:p>
            <w:pPr>
              <w:autoSpaceDE/>
              <w:autoSpaceDN/>
              <w:jc w:val="center"/>
              <w:textAlignment w:val="center"/>
              <w:rPr>
                <w:rFonts w:hint="eastAsia" w:ascii="Times New Roman" w:hAnsi="Times New Roman" w:eastAsia="方正仿宋_GBK" w:cs="方正仿宋_GBK"/>
                <w:color w:val="auto"/>
                <w:sz w:val="20"/>
                <w:szCs w:val="20"/>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47" w:hRule="atLeast"/>
          <w:jc w:val="center"/>
        </w:trPr>
        <w:tc>
          <w:tcPr>
            <w:tcW w:w="797" w:type="dxa"/>
            <w:vAlign w:val="center"/>
          </w:tcPr>
          <w:p>
            <w:pPr>
              <w:autoSpaceDE/>
              <w:autoSpaceDN/>
              <w:jc w:val="center"/>
              <w:textAlignment w:val="center"/>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lang w:bidi="ar"/>
              </w:rPr>
              <w:t>4</w:t>
            </w:r>
          </w:p>
        </w:tc>
        <w:tc>
          <w:tcPr>
            <w:tcW w:w="2408" w:type="dxa"/>
            <w:vAlign w:val="center"/>
          </w:tcPr>
          <w:p>
            <w:pPr>
              <w:autoSpaceDE/>
              <w:autoSpaceDN/>
              <w:jc w:val="center"/>
              <w:textAlignment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绩效目标评审</w:t>
            </w:r>
          </w:p>
        </w:tc>
        <w:tc>
          <w:tcPr>
            <w:tcW w:w="10080" w:type="dxa"/>
            <w:vAlign w:val="center"/>
          </w:tcPr>
          <w:p>
            <w:pPr>
              <w:autoSpaceDE/>
              <w:autoSpaceDN/>
              <w:jc w:val="center"/>
              <w:rPr>
                <w:rFonts w:hint="eastAsia" w:ascii="Times New Roman" w:hAnsi="Times New Roman" w:eastAsia="方正仿宋_GBK" w:cs="方正仿宋_GBK"/>
                <w:color w:val="auto"/>
                <w:sz w:val="20"/>
                <w:szCs w:val="20"/>
                <w:lang w:eastAsia="zh-CN"/>
              </w:rPr>
            </w:pPr>
            <w:r>
              <w:rPr>
                <w:rFonts w:hint="eastAsia" w:ascii="Times New Roman" w:hAnsi="Times New Roman" w:eastAsia="方正仿宋_GBK" w:cs="方正仿宋_GBK"/>
                <w:color w:val="auto"/>
                <w:sz w:val="20"/>
                <w:szCs w:val="20"/>
                <w:lang w:eastAsia="zh-CN"/>
              </w:rPr>
              <w:t>无</w:t>
            </w:r>
          </w:p>
        </w:tc>
        <w:tc>
          <w:tcPr>
            <w:tcW w:w="1236" w:type="dxa"/>
            <w:vAlign w:val="center"/>
          </w:tcPr>
          <w:p>
            <w:pPr>
              <w:autoSpaceDE/>
              <w:autoSpaceDN/>
              <w:jc w:val="center"/>
              <w:textAlignment w:val="center"/>
              <w:rPr>
                <w:rFonts w:hint="eastAsia" w:ascii="Times New Roman" w:hAnsi="Times New Roman" w:eastAsia="方正仿宋_GBK" w:cs="方正仿宋_GBK"/>
                <w:color w:val="auto"/>
                <w:sz w:val="20"/>
                <w:szCs w:val="20"/>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2564" w:hRule="atLeast"/>
          <w:jc w:val="center"/>
        </w:trPr>
        <w:tc>
          <w:tcPr>
            <w:tcW w:w="797" w:type="dxa"/>
            <w:vAlign w:val="center"/>
          </w:tcPr>
          <w:p>
            <w:pPr>
              <w:autoSpaceDE/>
              <w:autoSpaceDN/>
              <w:jc w:val="center"/>
              <w:textAlignment w:val="center"/>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lang w:bidi="ar"/>
              </w:rPr>
              <w:t>5</w:t>
            </w:r>
          </w:p>
        </w:tc>
        <w:tc>
          <w:tcPr>
            <w:tcW w:w="2408" w:type="dxa"/>
            <w:vAlign w:val="center"/>
          </w:tcPr>
          <w:p>
            <w:pPr>
              <w:autoSpaceDE/>
              <w:autoSpaceDN/>
              <w:jc w:val="center"/>
              <w:textAlignment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rPr>
              <w:t>现场监督检查</w:t>
            </w:r>
          </w:p>
        </w:tc>
        <w:tc>
          <w:tcPr>
            <w:tcW w:w="100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ind w:left="0" w:leftChars="0" w:right="0" w:rightChars="0" w:firstLine="300" w:firstLineChars="200"/>
              <w:jc w:val="both"/>
              <w:textAlignment w:val="auto"/>
              <w:outlineLvl w:val="9"/>
              <w:rPr>
                <w:rFonts w:hint="eastAsia" w:ascii="仿宋" w:hAnsi="仿宋" w:eastAsia="仿宋" w:cs="仿宋"/>
                <w:color w:val="000000"/>
                <w:sz w:val="15"/>
                <w:szCs w:val="15"/>
                <w:lang w:eastAsia="zh-CN"/>
              </w:rPr>
            </w:pPr>
            <w:r>
              <w:rPr>
                <w:rFonts w:hint="eastAsia" w:ascii="仿宋" w:hAnsi="仿宋" w:eastAsia="仿宋"/>
                <w:color w:val="auto"/>
                <w:sz w:val="15"/>
                <w:szCs w:val="15"/>
                <w:lang w:eastAsia="zh-CN"/>
              </w:rPr>
              <w:t>《</w:t>
            </w:r>
            <w:r>
              <w:rPr>
                <w:rFonts w:hint="eastAsia" w:ascii="仿宋" w:hAnsi="仿宋" w:eastAsia="仿宋" w:cs="仿宋"/>
                <w:color w:val="auto"/>
                <w:sz w:val="15"/>
                <w:szCs w:val="15"/>
                <w:lang w:eastAsia="zh-CN"/>
              </w:rPr>
              <w:t>2021年以来巡视巡察、内部审计问题整改落实情况及内部控制制度建设情况专项审计报告》中对湖南省网络商品交易监测中心</w:t>
            </w:r>
            <w:r>
              <w:rPr>
                <w:rFonts w:hint="eastAsia" w:ascii="仿宋" w:hAnsi="仿宋" w:eastAsia="仿宋" w:cs="仿宋"/>
                <w:color w:val="auto"/>
                <w:sz w:val="15"/>
                <w:szCs w:val="15"/>
              </w:rPr>
              <w:t>提出</w:t>
            </w:r>
            <w:r>
              <w:rPr>
                <w:rFonts w:hint="eastAsia" w:ascii="仿宋" w:hAnsi="仿宋" w:eastAsia="仿宋" w:cs="仿宋"/>
                <w:color w:val="auto"/>
                <w:sz w:val="15"/>
                <w:szCs w:val="15"/>
                <w:lang w:val="en-US" w:eastAsia="zh-CN"/>
              </w:rPr>
              <w:t>14个缺陷</w:t>
            </w:r>
            <w:r>
              <w:rPr>
                <w:rFonts w:hint="eastAsia" w:ascii="仿宋" w:hAnsi="仿宋" w:eastAsia="仿宋" w:cs="仿宋"/>
                <w:color w:val="auto"/>
                <w:sz w:val="15"/>
                <w:szCs w:val="15"/>
                <w:lang w:eastAsia="zh-CN"/>
              </w:rPr>
              <w:t>问题，一、</w:t>
            </w:r>
            <w:r>
              <w:rPr>
                <w:rFonts w:hint="eastAsia" w:ascii="仿宋" w:hAnsi="仿宋" w:eastAsia="仿宋" w:cs="仿宋"/>
                <w:color w:val="auto"/>
                <w:sz w:val="15"/>
                <w:szCs w:val="15"/>
              </w:rPr>
              <w:t>内控制度</w:t>
            </w:r>
            <w:r>
              <w:rPr>
                <w:rFonts w:hint="eastAsia" w:ascii="仿宋" w:hAnsi="仿宋" w:eastAsia="仿宋" w:cs="仿宋"/>
                <w:color w:val="auto"/>
                <w:sz w:val="15"/>
                <w:szCs w:val="15"/>
                <w:lang w:eastAsia="zh-CN"/>
              </w:rPr>
              <w:t>不健全，制度</w:t>
            </w:r>
            <w:r>
              <w:rPr>
                <w:rFonts w:hint="eastAsia" w:ascii="仿宋" w:hAnsi="仿宋" w:eastAsia="仿宋" w:cs="仿宋"/>
                <w:color w:val="auto"/>
                <w:sz w:val="15"/>
                <w:szCs w:val="15"/>
              </w:rPr>
              <w:t>设计</w:t>
            </w:r>
            <w:r>
              <w:rPr>
                <w:rFonts w:hint="eastAsia" w:ascii="仿宋" w:hAnsi="仿宋" w:eastAsia="仿宋" w:cs="仿宋"/>
                <w:color w:val="auto"/>
                <w:sz w:val="15"/>
                <w:szCs w:val="15"/>
                <w:lang w:eastAsia="zh-CN"/>
              </w:rPr>
              <w:t>存在</w:t>
            </w:r>
            <w:r>
              <w:rPr>
                <w:rFonts w:hint="eastAsia" w:ascii="仿宋" w:hAnsi="仿宋" w:eastAsia="仿宋" w:cs="仿宋"/>
                <w:color w:val="auto"/>
                <w:sz w:val="15"/>
                <w:szCs w:val="15"/>
              </w:rPr>
              <w:t>缺陷。</w:t>
            </w:r>
            <w:r>
              <w:rPr>
                <w:rFonts w:hint="eastAsia" w:ascii="仿宋" w:hAnsi="仿宋" w:eastAsia="仿宋" w:cs="仿宋"/>
                <w:color w:val="auto"/>
                <w:sz w:val="15"/>
                <w:szCs w:val="15"/>
                <w:lang w:val="en-US" w:eastAsia="zh-CN"/>
              </w:rPr>
              <w:t>2023年9月7日中心完成内控制度</w:t>
            </w:r>
            <w:r>
              <w:rPr>
                <w:rFonts w:hint="eastAsia" w:ascii="仿宋" w:hAnsi="仿宋" w:eastAsia="仿宋" w:cs="仿宋"/>
                <w:color w:val="auto"/>
                <w:sz w:val="15"/>
                <w:szCs w:val="15"/>
              </w:rPr>
              <w:t>审核修正</w:t>
            </w:r>
            <w:r>
              <w:rPr>
                <w:rFonts w:hint="eastAsia" w:ascii="仿宋" w:hAnsi="仿宋" w:eastAsia="仿宋" w:cs="仿宋"/>
                <w:color w:val="auto"/>
                <w:sz w:val="15"/>
                <w:szCs w:val="15"/>
                <w:lang w:eastAsia="zh-CN"/>
              </w:rPr>
              <w:t>并发文执行</w:t>
            </w:r>
            <w:r>
              <w:rPr>
                <w:rFonts w:hint="eastAsia" w:ascii="仿宋" w:hAnsi="仿宋" w:eastAsia="仿宋" w:cs="仿宋"/>
                <w:color w:val="auto"/>
                <w:sz w:val="15"/>
                <w:szCs w:val="15"/>
              </w:rPr>
              <w:t>，</w:t>
            </w:r>
            <w:r>
              <w:rPr>
                <w:rFonts w:hint="eastAsia" w:ascii="仿宋" w:hAnsi="仿宋" w:eastAsia="仿宋" w:cs="仿宋"/>
                <w:color w:val="auto"/>
                <w:sz w:val="15"/>
                <w:szCs w:val="15"/>
                <w:lang w:eastAsia="zh-CN"/>
              </w:rPr>
              <w:t>文号为湘市网监〔</w:t>
            </w:r>
            <w:r>
              <w:rPr>
                <w:rFonts w:hint="eastAsia" w:ascii="仿宋" w:hAnsi="仿宋" w:eastAsia="仿宋" w:cs="仿宋"/>
                <w:color w:val="auto"/>
                <w:sz w:val="15"/>
                <w:szCs w:val="15"/>
                <w:lang w:val="en-US" w:eastAsia="zh-CN"/>
              </w:rPr>
              <w:t>2023〕6号。</w:t>
            </w:r>
            <w:r>
              <w:rPr>
                <w:rFonts w:hint="eastAsia" w:ascii="仿宋" w:hAnsi="仿宋" w:eastAsia="仿宋" w:cs="仿宋"/>
                <w:color w:val="auto"/>
                <w:sz w:val="15"/>
                <w:szCs w:val="15"/>
                <w:lang w:eastAsia="zh-CN"/>
              </w:rPr>
              <w:t>二、</w:t>
            </w:r>
            <w:r>
              <w:rPr>
                <w:rFonts w:hint="eastAsia" w:ascii="仿宋" w:hAnsi="仿宋" w:eastAsia="仿宋" w:cs="仿宋"/>
                <w:color w:val="auto"/>
                <w:sz w:val="15"/>
                <w:szCs w:val="15"/>
              </w:rPr>
              <w:t>采购管理</w:t>
            </w:r>
            <w:r>
              <w:rPr>
                <w:rFonts w:hint="eastAsia" w:ascii="仿宋" w:hAnsi="仿宋" w:eastAsia="仿宋" w:cs="仿宋"/>
                <w:color w:val="auto"/>
                <w:sz w:val="15"/>
                <w:szCs w:val="15"/>
                <w:lang w:eastAsia="zh-CN"/>
              </w:rPr>
              <w:t>方面</w:t>
            </w:r>
            <w:r>
              <w:rPr>
                <w:rFonts w:hint="eastAsia" w:ascii="仿宋" w:hAnsi="仿宋" w:eastAsia="仿宋" w:cs="仿宋"/>
                <w:color w:val="auto"/>
                <w:sz w:val="15"/>
                <w:szCs w:val="15"/>
              </w:rPr>
              <w:t>。审计</w:t>
            </w:r>
            <w:r>
              <w:rPr>
                <w:rFonts w:hint="eastAsia" w:ascii="仿宋" w:hAnsi="仿宋" w:eastAsia="仿宋" w:cs="仿宋"/>
                <w:color w:val="auto"/>
                <w:sz w:val="15"/>
                <w:szCs w:val="15"/>
                <w:lang w:eastAsia="zh-CN"/>
              </w:rPr>
              <w:t>报告提出</w:t>
            </w:r>
            <w:r>
              <w:rPr>
                <w:rFonts w:hint="eastAsia" w:ascii="仿宋" w:hAnsi="仿宋" w:eastAsia="仿宋" w:cs="仿宋"/>
                <w:color w:val="auto"/>
                <w:sz w:val="15"/>
                <w:szCs w:val="15"/>
              </w:rPr>
              <w:t>采购合同无验收单</w:t>
            </w:r>
            <w:r>
              <w:rPr>
                <w:rFonts w:hint="eastAsia" w:ascii="仿宋" w:hAnsi="仿宋" w:eastAsia="仿宋" w:cs="仿宋"/>
                <w:color w:val="auto"/>
                <w:sz w:val="15"/>
                <w:szCs w:val="15"/>
                <w:lang w:eastAsia="zh-CN"/>
              </w:rPr>
              <w:t>即</w:t>
            </w:r>
            <w:r>
              <w:rPr>
                <w:rFonts w:hint="eastAsia" w:ascii="仿宋" w:hAnsi="仿宋" w:eastAsia="仿宋" w:cs="仿宋"/>
                <w:color w:val="auto"/>
                <w:sz w:val="15"/>
                <w:szCs w:val="15"/>
              </w:rPr>
              <w:t>付款；验收单无验收时间和验收意见。中心已对上述问题进行了认真整改，补充了相关材料，今后将严格按照财务管理和政府采购程序的要求，进一步加强采购管理。</w:t>
            </w:r>
            <w:r>
              <w:rPr>
                <w:rFonts w:hint="eastAsia" w:ascii="仿宋" w:hAnsi="仿宋" w:eastAsia="仿宋" w:cs="仿宋"/>
                <w:color w:val="auto"/>
                <w:sz w:val="15"/>
                <w:szCs w:val="15"/>
                <w:lang w:eastAsia="zh-CN"/>
              </w:rPr>
              <w:t>三、资产管理方面。</w:t>
            </w:r>
            <w:r>
              <w:rPr>
                <w:rFonts w:hint="eastAsia" w:ascii="仿宋" w:hAnsi="仿宋" w:eastAsia="仿宋" w:cs="仿宋"/>
                <w:color w:val="auto"/>
                <w:sz w:val="15"/>
                <w:szCs w:val="15"/>
              </w:rPr>
              <w:t>审计</w:t>
            </w:r>
            <w:r>
              <w:rPr>
                <w:rFonts w:hint="eastAsia" w:ascii="仿宋" w:hAnsi="仿宋" w:eastAsia="仿宋" w:cs="仿宋"/>
                <w:color w:val="auto"/>
                <w:sz w:val="15"/>
                <w:szCs w:val="15"/>
                <w:lang w:eastAsia="zh-CN"/>
              </w:rPr>
              <w:t>报告中提出</w:t>
            </w:r>
            <w:r>
              <w:rPr>
                <w:rFonts w:hint="eastAsia" w:ascii="仿宋" w:hAnsi="仿宋" w:eastAsia="仿宋" w:cs="仿宋"/>
                <w:color w:val="auto"/>
                <w:sz w:val="15"/>
                <w:szCs w:val="15"/>
              </w:rPr>
              <w:t>一是固定资产盘亏；二是闲置资产未及时处置;三是资产管控不到位；四是部分资产未贴编码；五是部分资产未责任到人；六是国有资产配置超标准</w:t>
            </w:r>
            <w:r>
              <w:rPr>
                <w:rFonts w:hint="eastAsia" w:ascii="仿宋" w:hAnsi="仿宋" w:eastAsia="仿宋" w:cs="仿宋"/>
                <w:color w:val="auto"/>
                <w:sz w:val="15"/>
                <w:szCs w:val="15"/>
                <w:lang w:eastAsia="zh-CN"/>
              </w:rPr>
              <w:t>；七是</w:t>
            </w:r>
            <w:r>
              <w:rPr>
                <w:rFonts w:hint="eastAsia" w:ascii="仿宋" w:hAnsi="仿宋" w:eastAsia="仿宋" w:cs="仿宋"/>
                <w:color w:val="auto"/>
                <w:sz w:val="15"/>
                <w:szCs w:val="15"/>
              </w:rPr>
              <w:t>无形资产</w:t>
            </w:r>
            <w:r>
              <w:rPr>
                <w:rFonts w:hint="eastAsia" w:ascii="仿宋" w:hAnsi="仿宋" w:eastAsia="仿宋" w:cs="仿宋"/>
                <w:color w:val="auto"/>
                <w:sz w:val="15"/>
                <w:szCs w:val="15"/>
                <w:lang w:eastAsia="zh-CN"/>
              </w:rPr>
              <w:t>未</w:t>
            </w:r>
            <w:r>
              <w:rPr>
                <w:rFonts w:hint="eastAsia" w:ascii="仿宋" w:hAnsi="仿宋" w:eastAsia="仿宋" w:cs="仿宋"/>
                <w:color w:val="auto"/>
                <w:sz w:val="15"/>
                <w:szCs w:val="15"/>
              </w:rPr>
              <w:t>进行摊销。</w:t>
            </w:r>
            <w:r>
              <w:rPr>
                <w:rFonts w:hint="eastAsia" w:ascii="仿宋" w:hAnsi="仿宋" w:eastAsia="仿宋" w:cs="仿宋"/>
                <w:color w:val="auto"/>
                <w:sz w:val="15"/>
                <w:szCs w:val="15"/>
                <w:lang w:val="en-US" w:eastAsia="zh-CN"/>
              </w:rPr>
              <w:t>2023年12月</w:t>
            </w:r>
            <w:r>
              <w:rPr>
                <w:rFonts w:hint="eastAsia" w:ascii="仿宋" w:hAnsi="仿宋" w:eastAsia="仿宋" w:cs="仿宋"/>
                <w:color w:val="auto"/>
                <w:sz w:val="15"/>
                <w:szCs w:val="15"/>
                <w:lang w:eastAsia="zh-CN"/>
              </w:rPr>
              <w:t>中心已对盘亏资产、部分闲置资产进行了处置流程，已整改到位；二是资产</w:t>
            </w:r>
            <w:r>
              <w:rPr>
                <w:rFonts w:hint="eastAsia" w:ascii="仿宋" w:hAnsi="仿宋" w:eastAsia="仿宋" w:cs="仿宋"/>
                <w:color w:val="auto"/>
                <w:sz w:val="15"/>
                <w:szCs w:val="15"/>
              </w:rPr>
              <w:t>未贴编码</w:t>
            </w:r>
            <w:r>
              <w:rPr>
                <w:rFonts w:hint="eastAsia" w:ascii="仿宋" w:hAnsi="仿宋" w:eastAsia="仿宋" w:cs="仿宋"/>
                <w:color w:val="auto"/>
                <w:sz w:val="15"/>
                <w:szCs w:val="15"/>
                <w:lang w:eastAsia="zh-CN"/>
              </w:rPr>
              <w:t>、</w:t>
            </w:r>
            <w:r>
              <w:rPr>
                <w:rFonts w:hint="eastAsia" w:ascii="仿宋" w:hAnsi="仿宋" w:eastAsia="仿宋" w:cs="仿宋"/>
                <w:color w:val="auto"/>
                <w:sz w:val="15"/>
                <w:szCs w:val="15"/>
              </w:rPr>
              <w:t>未责任到人</w:t>
            </w:r>
            <w:r>
              <w:rPr>
                <w:rFonts w:hint="eastAsia" w:ascii="仿宋" w:hAnsi="仿宋" w:eastAsia="仿宋" w:cs="仿宋"/>
                <w:color w:val="auto"/>
                <w:sz w:val="15"/>
                <w:szCs w:val="15"/>
                <w:lang w:eastAsia="zh-CN"/>
              </w:rPr>
              <w:t>、</w:t>
            </w:r>
            <w:r>
              <w:rPr>
                <w:rFonts w:hint="eastAsia" w:ascii="仿宋" w:hAnsi="仿宋" w:eastAsia="仿宋" w:cs="仿宋"/>
                <w:color w:val="auto"/>
                <w:sz w:val="15"/>
                <w:szCs w:val="15"/>
              </w:rPr>
              <w:t>无形资产</w:t>
            </w:r>
            <w:r>
              <w:rPr>
                <w:rFonts w:hint="eastAsia" w:ascii="仿宋" w:hAnsi="仿宋" w:eastAsia="仿宋" w:cs="仿宋"/>
                <w:color w:val="auto"/>
                <w:sz w:val="15"/>
                <w:szCs w:val="15"/>
                <w:lang w:eastAsia="zh-CN"/>
              </w:rPr>
              <w:t>未</w:t>
            </w:r>
            <w:r>
              <w:rPr>
                <w:rFonts w:hint="eastAsia" w:ascii="仿宋" w:hAnsi="仿宋" w:eastAsia="仿宋" w:cs="仿宋"/>
                <w:color w:val="auto"/>
                <w:sz w:val="15"/>
                <w:szCs w:val="15"/>
              </w:rPr>
              <w:t>进行摊销</w:t>
            </w:r>
            <w:r>
              <w:rPr>
                <w:rFonts w:hint="eastAsia" w:ascii="仿宋" w:hAnsi="仿宋" w:eastAsia="仿宋" w:cs="仿宋"/>
                <w:color w:val="auto"/>
                <w:sz w:val="15"/>
                <w:szCs w:val="15"/>
                <w:lang w:eastAsia="zh-CN"/>
              </w:rPr>
              <w:t>等问题，网监中心已完成整改并按照内控制度手册中相关规定严格使用人制度和资产清查盘点制度，加强国有资产的管理；三</w:t>
            </w:r>
            <w:r>
              <w:rPr>
                <w:rFonts w:hint="eastAsia" w:ascii="仿宋" w:hAnsi="仿宋" w:eastAsia="仿宋" w:cs="仿宋"/>
                <w:b w:val="0"/>
                <w:bCs w:val="0"/>
                <w:color w:val="auto"/>
                <w:sz w:val="15"/>
                <w:szCs w:val="15"/>
                <w:lang w:eastAsia="zh-CN"/>
              </w:rPr>
              <w:t>是</w:t>
            </w:r>
            <w:r>
              <w:rPr>
                <w:rFonts w:hint="eastAsia" w:ascii="仿宋" w:hAnsi="仿宋" w:eastAsia="仿宋" w:cs="仿宋"/>
                <w:color w:val="auto"/>
                <w:sz w:val="15"/>
                <w:szCs w:val="15"/>
                <w:lang w:eastAsia="zh-CN"/>
              </w:rPr>
              <w:t>为保障网监中心稳步推进转型，务实开展监测工作，故根据工作实际需要，按照《湖南省政府采购电子卖场管理办法》的有关规定在湖南省政府采购电子卖场择优采购了一台单反数码相机（含专业镜头）和四台激光彩色打印机，超过了限价；</w:t>
            </w:r>
            <w:r>
              <w:rPr>
                <w:rFonts w:hint="eastAsia" w:ascii="仿宋" w:hAnsi="仿宋" w:eastAsia="仿宋" w:cs="仿宋"/>
                <w:color w:val="auto"/>
                <w:sz w:val="15"/>
                <w:szCs w:val="15"/>
              </w:rPr>
              <w:t>对于以上情况，中心即知即改，加强对《湖南省省级行政事业单位通用办公设备和办公家具配置限额标准》等财经制度的学习，进一步加强财政预算支出管理，规范政府采购行为</w:t>
            </w:r>
            <w:r>
              <w:rPr>
                <w:rFonts w:hint="eastAsia" w:ascii="仿宋" w:hAnsi="仿宋" w:eastAsia="仿宋" w:cs="仿宋"/>
                <w:color w:val="auto"/>
                <w:sz w:val="15"/>
                <w:szCs w:val="15"/>
                <w:lang w:eastAsia="zh-CN"/>
              </w:rPr>
              <w:t>；四是资产管控不到位，</w:t>
            </w:r>
            <w:r>
              <w:rPr>
                <w:rFonts w:hint="eastAsia" w:ascii="仿宋" w:hAnsi="仿宋" w:eastAsia="仿宋" w:cs="仿宋"/>
                <w:color w:val="auto"/>
                <w:sz w:val="15"/>
                <w:szCs w:val="15"/>
                <w:lang w:val="en-US" w:eastAsia="zh-CN"/>
              </w:rPr>
              <w:t>网监中心已设专人定期核查监管，防止国有资产流失。</w:t>
            </w:r>
            <w:r>
              <w:rPr>
                <w:rFonts w:hint="eastAsia" w:ascii="仿宋" w:hAnsi="仿宋" w:eastAsia="仿宋" w:cs="仿宋"/>
                <w:sz w:val="15"/>
                <w:szCs w:val="15"/>
                <w:lang w:eastAsia="zh-CN"/>
              </w:rPr>
              <w:t>四、</w:t>
            </w:r>
            <w:r>
              <w:rPr>
                <w:rFonts w:hint="eastAsia" w:ascii="仿宋" w:hAnsi="仿宋" w:eastAsia="仿宋" w:cs="仿宋"/>
                <w:sz w:val="15"/>
                <w:szCs w:val="15"/>
              </w:rPr>
              <w:t>合同管理</w:t>
            </w:r>
            <w:r>
              <w:rPr>
                <w:rFonts w:hint="eastAsia" w:ascii="仿宋" w:hAnsi="仿宋" w:eastAsia="仿宋" w:cs="仿宋"/>
                <w:sz w:val="15"/>
                <w:szCs w:val="15"/>
                <w:lang w:eastAsia="zh-CN"/>
              </w:rPr>
              <w:t>方面</w:t>
            </w:r>
            <w:r>
              <w:rPr>
                <w:rFonts w:hint="eastAsia" w:ascii="仿宋" w:hAnsi="仿宋" w:eastAsia="仿宋" w:cs="仿宋"/>
                <w:sz w:val="15"/>
                <w:szCs w:val="15"/>
              </w:rPr>
              <w:t>。</w:t>
            </w:r>
            <w:r>
              <w:rPr>
                <w:rFonts w:hint="eastAsia" w:ascii="仿宋" w:hAnsi="仿宋" w:eastAsia="仿宋" w:cs="仿宋"/>
                <w:sz w:val="15"/>
                <w:szCs w:val="15"/>
                <w:lang w:eastAsia="zh-CN"/>
              </w:rPr>
              <w:t>审计报告中提出</w:t>
            </w:r>
            <w:r>
              <w:rPr>
                <w:rFonts w:hint="eastAsia" w:ascii="仿宋" w:hAnsi="仿宋" w:eastAsia="仿宋" w:cs="仿宋"/>
                <w:sz w:val="15"/>
                <w:szCs w:val="15"/>
              </w:rPr>
              <w:t>一是未建立合同台账</w:t>
            </w:r>
            <w:r>
              <w:rPr>
                <w:rFonts w:hint="eastAsia" w:ascii="仿宋" w:hAnsi="仿宋" w:eastAsia="仿宋" w:cs="仿宋"/>
                <w:sz w:val="15"/>
                <w:szCs w:val="15"/>
                <w:lang w:eastAsia="zh-CN"/>
              </w:rPr>
              <w:t>，</w:t>
            </w:r>
            <w:r>
              <w:rPr>
                <w:rFonts w:hint="eastAsia" w:ascii="仿宋" w:hAnsi="仿宋" w:eastAsia="仿宋" w:cs="仿宋"/>
                <w:sz w:val="15"/>
                <w:szCs w:val="15"/>
              </w:rPr>
              <w:t>二是合同审核把关不严。</w:t>
            </w:r>
            <w:r>
              <w:rPr>
                <w:rFonts w:hint="eastAsia" w:ascii="仿宋" w:hAnsi="仿宋" w:eastAsia="仿宋" w:cs="仿宋"/>
                <w:sz w:val="15"/>
                <w:szCs w:val="15"/>
                <w:lang w:eastAsia="zh-CN"/>
              </w:rPr>
              <w:t>网监</w:t>
            </w:r>
            <w:r>
              <w:rPr>
                <w:rFonts w:hint="eastAsia" w:ascii="仿宋" w:hAnsi="仿宋" w:eastAsia="仿宋" w:cs="仿宋"/>
                <w:sz w:val="15"/>
                <w:szCs w:val="15"/>
              </w:rPr>
              <w:t>中心在此次内控制度建设中，</w:t>
            </w:r>
            <w:r>
              <w:rPr>
                <w:rFonts w:hint="eastAsia" w:ascii="仿宋" w:hAnsi="仿宋" w:eastAsia="仿宋" w:cs="仿宋"/>
                <w:sz w:val="15"/>
                <w:szCs w:val="15"/>
                <w:lang w:eastAsia="zh-CN"/>
              </w:rPr>
              <w:t>已</w:t>
            </w:r>
            <w:r>
              <w:rPr>
                <w:rFonts w:hint="eastAsia" w:ascii="仿宋" w:hAnsi="仿宋" w:eastAsia="仿宋" w:cs="仿宋"/>
                <w:sz w:val="15"/>
                <w:szCs w:val="15"/>
              </w:rPr>
              <w:t>对合同管理相关制度条款进行完善修订，并指定专人负责合同的管理，加强合同的统计、分类、归档、台账登记等。</w:t>
            </w:r>
            <w:r>
              <w:rPr>
                <w:rFonts w:hint="eastAsia" w:ascii="仿宋" w:hAnsi="仿宋" w:eastAsia="仿宋" w:cs="仿宋"/>
                <w:color w:val="000000"/>
                <w:sz w:val="15"/>
                <w:szCs w:val="15"/>
                <w:lang w:eastAsia="zh-CN"/>
              </w:rPr>
              <w:t>五、其他</w:t>
            </w:r>
            <w:r>
              <w:rPr>
                <w:rFonts w:hint="eastAsia" w:ascii="仿宋" w:hAnsi="仿宋" w:eastAsia="仿宋" w:cs="仿宋"/>
                <w:color w:val="000000"/>
                <w:sz w:val="15"/>
                <w:szCs w:val="15"/>
              </w:rPr>
              <w:t>。</w:t>
            </w:r>
            <w:r>
              <w:rPr>
                <w:rFonts w:hint="eastAsia" w:ascii="仿宋" w:hAnsi="仿宋" w:eastAsia="仿宋" w:cs="仿宋"/>
                <w:color w:val="000000"/>
                <w:sz w:val="15"/>
                <w:szCs w:val="15"/>
                <w:lang w:eastAsia="zh-CN"/>
              </w:rPr>
              <w:t>审计报告中提出的</w:t>
            </w:r>
            <w:r>
              <w:rPr>
                <w:rFonts w:hint="eastAsia" w:ascii="仿宋" w:hAnsi="仿宋" w:eastAsia="仿宋" w:cs="仿宋"/>
                <w:color w:val="000000"/>
                <w:sz w:val="15"/>
                <w:szCs w:val="15"/>
                <w:lang w:val="en-US" w:eastAsia="zh-CN"/>
              </w:rPr>
              <w:t>“</w:t>
            </w:r>
            <w:r>
              <w:rPr>
                <w:rFonts w:hint="eastAsia" w:ascii="仿宋" w:hAnsi="仿宋" w:eastAsia="仿宋" w:cs="仿宋"/>
                <w:color w:val="000000"/>
                <w:sz w:val="15"/>
                <w:szCs w:val="15"/>
              </w:rPr>
              <w:t>工会未及时记账</w:t>
            </w:r>
            <w:r>
              <w:rPr>
                <w:rFonts w:hint="eastAsia" w:ascii="仿宋" w:hAnsi="仿宋" w:eastAsia="仿宋" w:cs="仿宋"/>
                <w:color w:val="000000"/>
                <w:sz w:val="15"/>
                <w:szCs w:val="15"/>
                <w:lang w:eastAsia="zh-CN"/>
              </w:rPr>
              <w:t>”问题，今后中心将进一步规范工会财务工作，及时处理工会账务，保证工会财务数据的完整性和正确性。六、</w:t>
            </w:r>
            <w:r>
              <w:rPr>
                <w:rFonts w:hint="eastAsia" w:ascii="仿宋" w:hAnsi="仿宋" w:eastAsia="仿宋" w:cs="仿宋"/>
                <w:color w:val="000000"/>
                <w:sz w:val="15"/>
                <w:szCs w:val="15"/>
              </w:rPr>
              <w:t>2021年以来巡视巡察、内部审计问题整改落实情况。</w:t>
            </w:r>
            <w:r>
              <w:rPr>
                <w:rFonts w:hint="eastAsia" w:ascii="仿宋" w:hAnsi="仿宋" w:eastAsia="仿宋" w:cs="仿宋"/>
                <w:color w:val="000000"/>
                <w:sz w:val="15"/>
                <w:szCs w:val="15"/>
                <w:lang w:eastAsia="zh-CN"/>
              </w:rPr>
              <w:t>关于预算管理方面“未严格执行预算”“预算执行率低”的问题。</w:t>
            </w:r>
            <w:r>
              <w:rPr>
                <w:rFonts w:hint="eastAsia" w:ascii="仿宋" w:hAnsi="仿宋" w:eastAsia="仿宋" w:cs="仿宋"/>
                <w:color w:val="000000"/>
                <w:sz w:val="15"/>
                <w:szCs w:val="15"/>
                <w:lang w:val="en-US" w:eastAsia="zh-CN"/>
              </w:rPr>
              <w:t>1、</w:t>
            </w:r>
            <w:r>
              <w:rPr>
                <w:rFonts w:hint="eastAsia" w:ascii="仿宋" w:hAnsi="仿宋" w:eastAsia="仿宋" w:cs="仿宋"/>
                <w:color w:val="000000"/>
                <w:sz w:val="15"/>
                <w:szCs w:val="15"/>
                <w:lang w:eastAsia="zh-CN"/>
              </w:rPr>
              <w:t>根据湘财预〔</w:t>
            </w:r>
            <w:r>
              <w:rPr>
                <w:rFonts w:hint="eastAsia" w:ascii="仿宋" w:hAnsi="仿宋" w:eastAsia="仿宋" w:cs="仿宋"/>
                <w:color w:val="000000"/>
                <w:sz w:val="15"/>
                <w:szCs w:val="15"/>
                <w:lang w:val="en-US" w:eastAsia="zh-CN"/>
              </w:rPr>
              <w:t>2018</w:t>
            </w:r>
            <w:r>
              <w:rPr>
                <w:rFonts w:hint="eastAsia" w:ascii="仿宋" w:hAnsi="仿宋" w:eastAsia="仿宋" w:cs="仿宋"/>
                <w:color w:val="000000"/>
                <w:sz w:val="15"/>
                <w:szCs w:val="15"/>
                <w:lang w:eastAsia="zh-CN"/>
              </w:rPr>
              <w:t>〕</w:t>
            </w:r>
            <w:r>
              <w:rPr>
                <w:rFonts w:hint="eastAsia" w:ascii="仿宋" w:hAnsi="仿宋" w:eastAsia="仿宋" w:cs="仿宋"/>
                <w:color w:val="000000"/>
                <w:sz w:val="15"/>
                <w:szCs w:val="15"/>
                <w:lang w:val="en-US" w:eastAsia="zh-CN"/>
              </w:rPr>
              <w:t>187号</w:t>
            </w:r>
            <w:r>
              <w:rPr>
                <w:rFonts w:hint="eastAsia" w:ascii="仿宋" w:hAnsi="仿宋" w:eastAsia="仿宋" w:cs="仿宋"/>
                <w:color w:val="000000"/>
                <w:sz w:val="15"/>
                <w:szCs w:val="15"/>
                <w:lang w:eastAsia="zh-CN"/>
              </w:rPr>
              <w:t>湖南省财政厅关于印发《省级预算指标管理办法》的通知中，第六条指标调剂管理“</w:t>
            </w:r>
            <w:r>
              <w:rPr>
                <w:rFonts w:hint="eastAsia" w:ascii="仿宋" w:hAnsi="仿宋" w:eastAsia="仿宋" w:cs="仿宋"/>
                <w:sz w:val="15"/>
                <w:szCs w:val="15"/>
                <w:highlight w:val="none"/>
              </w:rPr>
              <w:t>年度执行中，省直部门不跨政府预算支出经济分类“501机关工资福利支出”类级科目和其他类级科目下“款”级科目的支付，以及金额在人民币5万元以下的小额零星支出（不包含统发工资、“三公”经费、工会经费），可由部门在支付环节据实申请、办理支付</w:t>
            </w:r>
            <w:r>
              <w:rPr>
                <w:rFonts w:hint="eastAsia" w:ascii="仿宋" w:hAnsi="仿宋" w:eastAsia="仿宋" w:cs="仿宋"/>
                <w:color w:val="000000"/>
                <w:sz w:val="15"/>
                <w:szCs w:val="15"/>
                <w:lang w:eastAsia="zh-CN"/>
              </w:rPr>
              <w:t>”的规定，我</w:t>
            </w:r>
            <w:r>
              <w:rPr>
                <w:rFonts w:hint="eastAsia" w:ascii="仿宋" w:hAnsi="仿宋" w:eastAsia="仿宋" w:cs="仿宋"/>
                <w:color w:val="000000"/>
                <w:sz w:val="15"/>
                <w:szCs w:val="15"/>
              </w:rPr>
              <w:t>中心成立后财务独立核算的第一年，</w:t>
            </w:r>
            <w:r>
              <w:rPr>
                <w:rFonts w:hint="eastAsia" w:ascii="仿宋" w:hAnsi="仿宋" w:eastAsia="仿宋" w:cs="仿宋"/>
                <w:color w:val="000000"/>
                <w:sz w:val="15"/>
                <w:szCs w:val="15"/>
                <w:lang w:eastAsia="zh-CN"/>
              </w:rPr>
              <w:t>因</w:t>
            </w:r>
            <w:r>
              <w:rPr>
                <w:rFonts w:hint="eastAsia" w:ascii="仿宋" w:hAnsi="仿宋" w:eastAsia="仿宋" w:cs="仿宋"/>
                <w:color w:val="000000"/>
                <w:sz w:val="15"/>
                <w:szCs w:val="15"/>
              </w:rPr>
              <w:t>单位整体运行、业务开展、事业单位改革后工资福利补助等政策的不明确性，造成年初预算科目与实际开支科目</w:t>
            </w:r>
            <w:r>
              <w:rPr>
                <w:rFonts w:hint="eastAsia" w:ascii="仿宋" w:hAnsi="仿宋" w:eastAsia="仿宋" w:cs="仿宋"/>
                <w:color w:val="000000"/>
                <w:sz w:val="15"/>
                <w:szCs w:val="15"/>
                <w:lang w:eastAsia="zh-CN"/>
              </w:rPr>
              <w:t>有部分调剂使用情况；</w:t>
            </w:r>
            <w:r>
              <w:rPr>
                <w:rFonts w:hint="eastAsia" w:ascii="仿宋" w:hAnsi="仿宋" w:eastAsia="仿宋" w:cs="仿宋"/>
                <w:color w:val="000000"/>
                <w:sz w:val="15"/>
                <w:szCs w:val="15"/>
                <w:lang w:val="en-US" w:eastAsia="zh-CN"/>
              </w:rPr>
              <w:t>2、2022年度我中心财政拨款整体预算执行率99.17%，已完成整改。</w:t>
            </w:r>
            <w:r>
              <w:rPr>
                <w:rFonts w:hint="eastAsia" w:ascii="仿宋" w:hAnsi="仿宋" w:eastAsia="仿宋" w:cs="仿宋"/>
                <w:color w:val="000000"/>
                <w:sz w:val="15"/>
                <w:szCs w:val="15"/>
              </w:rPr>
              <w:t>中心今后一定严格执行《中华人民共和国预算法》，进一步加强预算的管理</w:t>
            </w:r>
            <w:r>
              <w:rPr>
                <w:rFonts w:hint="eastAsia" w:ascii="仿宋" w:hAnsi="仿宋" w:eastAsia="仿宋" w:cs="仿宋"/>
                <w:color w:val="000000"/>
                <w:sz w:val="15"/>
                <w:szCs w:val="15"/>
                <w:lang w:eastAsia="zh-CN"/>
              </w:rPr>
              <w:t>。</w:t>
            </w:r>
          </w:p>
          <w:p>
            <w:pPr>
              <w:autoSpaceDE/>
              <w:autoSpaceDN/>
              <w:jc w:val="both"/>
              <w:rPr>
                <w:rFonts w:hint="eastAsia" w:ascii="Times New Roman" w:hAnsi="Times New Roman" w:eastAsia="方正仿宋_GBK" w:cs="方正仿宋_GBK"/>
                <w:color w:val="auto"/>
                <w:sz w:val="20"/>
                <w:szCs w:val="20"/>
              </w:rPr>
            </w:pPr>
          </w:p>
        </w:tc>
        <w:tc>
          <w:tcPr>
            <w:tcW w:w="1236" w:type="dxa"/>
            <w:vAlign w:val="center"/>
          </w:tcPr>
          <w:p>
            <w:pPr>
              <w:autoSpaceDE/>
              <w:autoSpaceDN/>
              <w:jc w:val="center"/>
              <w:textAlignment w:val="center"/>
              <w:rPr>
                <w:rFonts w:hint="eastAsia" w:ascii="Times New Roman" w:hAnsi="Times New Roman" w:eastAsia="方正仿宋_GBK" w:cs="方正仿宋_GBK"/>
                <w:color w:val="auto"/>
                <w:sz w:val="20"/>
                <w:szCs w:val="20"/>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797" w:type="dxa"/>
            <w:vAlign w:val="center"/>
          </w:tcPr>
          <w:p>
            <w:pPr>
              <w:autoSpaceDE/>
              <w:autoSpaceDN/>
              <w:jc w:val="center"/>
              <w:textAlignment w:val="center"/>
              <w:rPr>
                <w:rFonts w:hint="eastAsia" w:ascii="Times New Roman" w:hAnsi="Times New Roman" w:eastAsia="方正仿宋_GBK" w:cs="方正仿宋_GBK"/>
                <w:color w:val="auto"/>
                <w:sz w:val="20"/>
                <w:szCs w:val="20"/>
                <w:lang w:bidi="ar"/>
              </w:rPr>
            </w:pPr>
            <w:r>
              <w:rPr>
                <w:rFonts w:hint="eastAsia" w:ascii="Times New Roman" w:hAnsi="Times New Roman" w:eastAsia="方正仿宋_GBK" w:cs="方正仿宋_GBK"/>
                <w:color w:val="auto"/>
                <w:sz w:val="20"/>
                <w:szCs w:val="20"/>
                <w:lang w:bidi="ar"/>
              </w:rPr>
              <w:t>6</w:t>
            </w:r>
          </w:p>
        </w:tc>
        <w:tc>
          <w:tcPr>
            <w:tcW w:w="2408" w:type="dxa"/>
            <w:vAlign w:val="center"/>
          </w:tcPr>
          <w:p>
            <w:pPr>
              <w:autoSpaceDE/>
              <w:autoSpaceDN/>
              <w:jc w:val="center"/>
              <w:textAlignment w:val="center"/>
              <w:rPr>
                <w:rFonts w:hint="eastAsia" w:ascii="Times New Roman" w:hAnsi="Times New Roman" w:eastAsia="方正仿宋_GBK" w:cs="方正仿宋_GBK"/>
                <w:color w:val="auto"/>
                <w:sz w:val="20"/>
                <w:szCs w:val="20"/>
              </w:rPr>
            </w:pPr>
            <w:r>
              <w:rPr>
                <w:rFonts w:hint="eastAsia" w:ascii="Times New Roman" w:hAnsi="Times New Roman" w:eastAsia="方正仿宋_GBK" w:cs="方正仿宋_GBK"/>
                <w:color w:val="auto"/>
                <w:sz w:val="20"/>
                <w:szCs w:val="20"/>
                <w:lang w:bidi="ar"/>
              </w:rPr>
              <w:t>其他方面</w:t>
            </w:r>
          </w:p>
        </w:tc>
        <w:tc>
          <w:tcPr>
            <w:tcW w:w="10080" w:type="dxa"/>
            <w:vAlign w:val="center"/>
          </w:tcPr>
          <w:p>
            <w:pPr>
              <w:autoSpaceDE/>
              <w:autoSpaceDN/>
              <w:jc w:val="center"/>
              <w:rPr>
                <w:rFonts w:hint="eastAsia" w:ascii="Times New Roman" w:hAnsi="Times New Roman" w:eastAsia="方正仿宋_GBK" w:cs="方正仿宋_GBK"/>
                <w:color w:val="auto"/>
                <w:sz w:val="20"/>
                <w:szCs w:val="20"/>
                <w:lang w:eastAsia="zh-CN"/>
              </w:rPr>
            </w:pPr>
            <w:r>
              <w:rPr>
                <w:rFonts w:hint="eastAsia" w:ascii="Times New Roman" w:hAnsi="Times New Roman" w:eastAsia="方正仿宋_GBK" w:cs="方正仿宋_GBK"/>
                <w:color w:val="auto"/>
                <w:sz w:val="20"/>
                <w:szCs w:val="20"/>
                <w:lang w:eastAsia="zh-CN"/>
              </w:rPr>
              <w:t>无</w:t>
            </w:r>
          </w:p>
        </w:tc>
        <w:tc>
          <w:tcPr>
            <w:tcW w:w="1236" w:type="dxa"/>
            <w:vAlign w:val="center"/>
          </w:tcPr>
          <w:p>
            <w:pPr>
              <w:autoSpaceDE/>
              <w:autoSpaceDN/>
              <w:jc w:val="center"/>
              <w:textAlignment w:val="center"/>
              <w:rPr>
                <w:rFonts w:hint="eastAsia" w:ascii="Times New Roman" w:hAnsi="Times New Roman" w:eastAsia="方正仿宋_GBK" w:cs="方正仿宋_GBK"/>
                <w:color w:val="auto"/>
                <w:sz w:val="20"/>
                <w:szCs w:val="20"/>
              </w:rPr>
            </w:pPr>
          </w:p>
        </w:tc>
      </w:tr>
    </w:tbl>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p>
    <w:p>
      <w:pPr>
        <w:pStyle w:val="15"/>
        <w:jc w:val="center"/>
        <w:rPr>
          <w:sz w:val="72"/>
          <w:szCs w:val="72"/>
        </w:rPr>
      </w:pPr>
    </w:p>
    <w:p>
      <w:pPr>
        <w:pStyle w:val="15"/>
        <w:jc w:val="center"/>
        <w:rPr>
          <w:sz w:val="72"/>
          <w:szCs w:val="72"/>
        </w:rPr>
      </w:pPr>
    </w:p>
    <w:p>
      <w:pPr>
        <w:jc w:val="left"/>
        <w:rPr>
          <w:rFonts w:cs="黑体" w:asciiTheme="minorEastAsia" w:hAnsiTheme="minorEastAsia"/>
          <w:color w:val="000000"/>
          <w:kern w:val="0"/>
          <w:sz w:val="32"/>
          <w:szCs w:val="32"/>
        </w:rPr>
      </w:pPr>
    </w:p>
    <w:sectPr>
      <w:pgSz w:w="16838" w:h="11906" w:orient="landscape"/>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黑体_GBK">
    <w:altName w:val="微软雅黑"/>
    <w:panose1 w:val="03000509000000000000"/>
    <w:charset w:val="86"/>
    <w:family w:val="script"/>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82" w:lineRule="auto"/>
      <w:ind w:left="45"/>
      <w:rPr>
        <w:rFonts w:ascii="宋体" w:hAnsi="宋体" w:eastAsia="宋体" w:cs="宋体"/>
        <w:sz w:val="27"/>
        <w:szCs w:val="27"/>
      </w:rPr>
    </w:pPr>
    <w:r>
      <w:rPr>
        <w:sz w:val="27"/>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rFonts w:hint="eastAsia" w:eastAsia="宋体"/>
                              <w:sz w:val="18"/>
                              <w:lang w:eastAsia="zh-CN"/>
                            </w:rPr>
                            <w:t>19</w:t>
                          </w:r>
                          <w:r>
                            <w:rPr>
                              <w:rFonts w:hint="eastAsia" w:eastAsia="宋体"/>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5op6x7gBAABUAwAADgAAAAAAAAABACAAAAAeAQAAZHJzL2Uyb0RvYy54bWxQSwUGAAAAAAYABgBZ&#10;AQAASAUAAAAA&#10;">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rFonts w:hint="eastAsia" w:eastAsia="宋体"/>
                        <w:sz w:val="18"/>
                        <w:lang w:eastAsia="zh-CN"/>
                      </w:rPr>
                      <w:t>19</w:t>
                    </w:r>
                    <w:r>
                      <w:rPr>
                        <w:rFonts w:hint="eastAsia" w:eastAsia="宋体"/>
                        <w:sz w:val="18"/>
                        <w:lang w:eastAsia="zh-CN"/>
                      </w:rPr>
                      <w:fldChar w:fldCharType="end"/>
                    </w:r>
                  </w:p>
                </w:txbxContent>
              </v:textbox>
            </v:shape>
          </w:pict>
        </mc:Fallback>
      </mc:AlternateContent>
    </w:r>
    <w:r>
      <w:rPr>
        <w:rFonts w:ascii="宋体" w:hAnsi="宋体" w:eastAsia="宋体" w:cs="宋体"/>
        <w:spacing w:val="5"/>
        <w:sz w:val="27"/>
        <w:szCs w:val="27"/>
      </w:rPr>
      <w:t>—</w:t>
    </w:r>
    <w:r>
      <w:rPr>
        <w:rFonts w:ascii="宋体" w:hAnsi="宋体" w:eastAsia="宋体" w:cs="宋体"/>
        <w:spacing w:val="4"/>
        <w:sz w:val="27"/>
        <w:szCs w:val="27"/>
      </w:rPr>
      <w:t xml:space="preserve"> </w:t>
    </w:r>
    <w:r>
      <w:rPr>
        <w:rFonts w:ascii="Times New Roman" w:hAnsi="Times New Roman" w:eastAsia="Times New Roman" w:cs="Times New Roman"/>
        <w:spacing w:val="4"/>
        <w:sz w:val="27"/>
        <w:szCs w:val="27"/>
      </w:rPr>
      <w:t xml:space="preserve">10  </w:t>
    </w:r>
    <w:r>
      <w:rPr>
        <w:rFonts w:ascii="宋体" w:hAnsi="宋体" w:eastAsia="宋体" w:cs="宋体"/>
        <w:spacing w:val="4"/>
        <w:sz w:val="27"/>
        <w:szCs w:val="27"/>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82" w:lineRule="auto"/>
      <w:ind w:left="45"/>
      <w:rPr>
        <w:rFonts w:ascii="宋体" w:hAnsi="宋体" w:eastAsia="宋体" w:cs="宋体"/>
        <w:sz w:val="27"/>
        <w:szCs w:val="27"/>
      </w:rPr>
    </w:pPr>
    <w:r>
      <w:rPr>
        <w:sz w:val="27"/>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rFonts w:hint="eastAsia" w:eastAsia="宋体"/>
                              <w:sz w:val="18"/>
                              <w:lang w:eastAsia="zh-CN"/>
                            </w:rPr>
                            <w:t>19</w:t>
                          </w:r>
                          <w:r>
                            <w:rPr>
                              <w:rFonts w:hint="eastAsia" w:eastAsia="宋体"/>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B7&#10;pqW7twEAAFQDAAAOAAAAAAAAAAEAIAAAAB4BAABkcnMvZTJvRG9jLnhtbFBLBQYAAAAABgAGAFkB&#10;AABHBQAAAAA=&#10;">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rFonts w:hint="eastAsia" w:eastAsia="宋体"/>
                        <w:sz w:val="18"/>
                        <w:lang w:eastAsia="zh-CN"/>
                      </w:rPr>
                      <w:t>19</w:t>
                    </w:r>
                    <w:r>
                      <w:rPr>
                        <w:rFonts w:hint="eastAsia" w:eastAsia="宋体"/>
                        <w:sz w:val="18"/>
                        <w:lang w:eastAsia="zh-CN"/>
                      </w:rPr>
                      <w:fldChar w:fldCharType="end"/>
                    </w:r>
                  </w:p>
                </w:txbxContent>
              </v:textbox>
            </v:shape>
          </w:pict>
        </mc:Fallback>
      </mc:AlternateContent>
    </w:r>
    <w:r>
      <w:rPr>
        <w:rFonts w:ascii="宋体" w:hAnsi="宋体" w:eastAsia="宋体" w:cs="宋体"/>
        <w:spacing w:val="5"/>
        <w:sz w:val="27"/>
        <w:szCs w:val="27"/>
      </w:rPr>
      <w:t>—</w:t>
    </w:r>
    <w:r>
      <w:rPr>
        <w:rFonts w:ascii="宋体" w:hAnsi="宋体" w:eastAsia="宋体" w:cs="宋体"/>
        <w:spacing w:val="4"/>
        <w:sz w:val="27"/>
        <w:szCs w:val="27"/>
      </w:rPr>
      <w:t xml:space="preserve"> </w:t>
    </w:r>
    <w:r>
      <w:rPr>
        <w:rFonts w:ascii="Times New Roman" w:hAnsi="Times New Roman" w:eastAsia="Times New Roman" w:cs="Times New Roman"/>
        <w:spacing w:val="4"/>
        <w:sz w:val="27"/>
        <w:szCs w:val="27"/>
      </w:rPr>
      <w:t xml:space="preserve">10  </w:t>
    </w:r>
    <w:r>
      <w:rPr>
        <w:rFonts w:ascii="宋体" w:hAnsi="宋体" w:eastAsia="宋体" w:cs="宋体"/>
        <w:spacing w:val="4"/>
        <w:sz w:val="27"/>
        <w:szCs w:val="27"/>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82" w:lineRule="auto"/>
      <w:ind w:left="45"/>
      <w:rPr>
        <w:rFonts w:ascii="宋体" w:hAnsi="宋体" w:eastAsia="宋体" w:cs="宋体"/>
        <w:sz w:val="27"/>
        <w:szCs w:val="27"/>
      </w:rPr>
    </w:pPr>
    <w:r>
      <w:rPr>
        <w:sz w:val="27"/>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rFonts w:hint="eastAsia" w:eastAsia="宋体"/>
                              <w:sz w:val="18"/>
                              <w:lang w:eastAsia="zh-CN"/>
                            </w:rPr>
                            <w:t>19</w:t>
                          </w:r>
                          <w:r>
                            <w:rPr>
                              <w:rFonts w:hint="eastAsia" w:eastAsia="宋体"/>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Dp&#10;Z8kWtwEAAFQDAAAOAAAAAAAAAAEAIAAAAB4BAABkcnMvZTJvRG9jLnhtbFBLBQYAAAAABgAGAFkB&#10;AABHBQAAAAA=&#10;">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rFonts w:hint="eastAsia" w:eastAsia="宋体"/>
                        <w:sz w:val="18"/>
                        <w:lang w:eastAsia="zh-CN"/>
                      </w:rPr>
                      <w:t>19</w:t>
                    </w:r>
                    <w:r>
                      <w:rPr>
                        <w:rFonts w:hint="eastAsia" w:eastAsia="宋体"/>
                        <w:sz w:val="18"/>
                        <w:lang w:eastAsia="zh-CN"/>
                      </w:rPr>
                      <w:fldChar w:fldCharType="end"/>
                    </w:r>
                  </w:p>
                </w:txbxContent>
              </v:textbox>
            </v:shape>
          </w:pict>
        </mc:Fallback>
      </mc:AlternateContent>
    </w:r>
    <w:r>
      <w:rPr>
        <w:rFonts w:ascii="宋体" w:hAnsi="宋体" w:eastAsia="宋体" w:cs="宋体"/>
        <w:spacing w:val="5"/>
        <w:sz w:val="27"/>
        <w:szCs w:val="27"/>
      </w:rPr>
      <w:t>—</w:t>
    </w:r>
    <w:r>
      <w:rPr>
        <w:rFonts w:ascii="宋体" w:hAnsi="宋体" w:eastAsia="宋体" w:cs="宋体"/>
        <w:spacing w:val="4"/>
        <w:sz w:val="27"/>
        <w:szCs w:val="27"/>
      </w:rPr>
      <w:t xml:space="preserve"> </w:t>
    </w:r>
    <w:r>
      <w:rPr>
        <w:rFonts w:ascii="Times New Roman" w:hAnsi="Times New Roman" w:eastAsia="Times New Roman" w:cs="Times New Roman"/>
        <w:spacing w:val="4"/>
        <w:sz w:val="27"/>
        <w:szCs w:val="27"/>
      </w:rPr>
      <w:t xml:space="preserve">10  </w:t>
    </w:r>
    <w:r>
      <w:rPr>
        <w:rFonts w:ascii="宋体" w:hAnsi="宋体" w:eastAsia="宋体" w:cs="宋体"/>
        <w:spacing w:val="4"/>
        <w:sz w:val="27"/>
        <w:szCs w:val="27"/>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14BBB7"/>
    <w:multiLevelType w:val="singleLevel"/>
    <w:tmpl w:val="8414BBB7"/>
    <w:lvl w:ilvl="0" w:tentative="0">
      <w:start w:val="2"/>
      <w:numFmt w:val="decimal"/>
      <w:suff w:val="nothing"/>
      <w:lvlText w:val="%1．"/>
      <w:lvlJc w:val="left"/>
    </w:lvl>
  </w:abstractNum>
  <w:abstractNum w:abstractNumId="1">
    <w:nsid w:val="DDC38399"/>
    <w:multiLevelType w:val="singleLevel"/>
    <w:tmpl w:val="DDC38399"/>
    <w:lvl w:ilvl="0" w:tentative="0">
      <w:start w:val="2"/>
      <w:numFmt w:val="chineseCounting"/>
      <w:suff w:val="nothing"/>
      <w:lvlText w:val="（%1）"/>
      <w:lvlJc w:val="left"/>
      <w:rPr>
        <w:rFonts w:hint="eastAsia"/>
      </w:rPr>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20F0EA0"/>
    <w:multiLevelType w:val="singleLevel"/>
    <w:tmpl w:val="620F0EA0"/>
    <w:lvl w:ilvl="0" w:tentative="0">
      <w:start w:val="1"/>
      <w:numFmt w:val="decimal"/>
      <w:suff w:val="nothing"/>
      <w:lvlText w:val="（%1）"/>
      <w:lvlJc w:val="left"/>
    </w:lvl>
  </w:abstractNum>
  <w:abstractNum w:abstractNumId="4">
    <w:nsid w:val="660A6091"/>
    <w:multiLevelType w:val="singleLevel"/>
    <w:tmpl w:val="660A6091"/>
    <w:lvl w:ilvl="0" w:tentative="0">
      <w:start w:val="3"/>
      <w:numFmt w:val="decimal"/>
      <w:suff w:val="nothing"/>
      <w:lvlText w:val="%1、"/>
      <w:lvlJc w:val="left"/>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5NmY5ODEzMWMwNGI0ZWMxYzA1MTkzZTM0MzMxMzQifQ=="/>
    <w:docVar w:name="KSO_WPS_MARK_KEY" w:val="fcbe35c7-099f-4cbf-94e0-c927503e6335"/>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27D2D3A"/>
    <w:rsid w:val="068714F3"/>
    <w:rsid w:val="07256D86"/>
    <w:rsid w:val="0845085A"/>
    <w:rsid w:val="089E2538"/>
    <w:rsid w:val="09216B27"/>
    <w:rsid w:val="092F3A0B"/>
    <w:rsid w:val="09901673"/>
    <w:rsid w:val="0A141B0B"/>
    <w:rsid w:val="0F873DC4"/>
    <w:rsid w:val="12840142"/>
    <w:rsid w:val="139B5716"/>
    <w:rsid w:val="142E0B5C"/>
    <w:rsid w:val="144A7030"/>
    <w:rsid w:val="17DD0C7F"/>
    <w:rsid w:val="18326B69"/>
    <w:rsid w:val="1B666A77"/>
    <w:rsid w:val="1D9700E6"/>
    <w:rsid w:val="1D97DEFF"/>
    <w:rsid w:val="1DFF72E5"/>
    <w:rsid w:val="1E311151"/>
    <w:rsid w:val="1EE068A4"/>
    <w:rsid w:val="1EFC6F07"/>
    <w:rsid w:val="204A02A8"/>
    <w:rsid w:val="20CC6D2B"/>
    <w:rsid w:val="20F077D2"/>
    <w:rsid w:val="21020F4C"/>
    <w:rsid w:val="210C2A55"/>
    <w:rsid w:val="211D7858"/>
    <w:rsid w:val="21760496"/>
    <w:rsid w:val="21CD542E"/>
    <w:rsid w:val="2270143C"/>
    <w:rsid w:val="22AC6FF8"/>
    <w:rsid w:val="22F30DBD"/>
    <w:rsid w:val="25592D3B"/>
    <w:rsid w:val="265F25D3"/>
    <w:rsid w:val="28D62454"/>
    <w:rsid w:val="295B6C9C"/>
    <w:rsid w:val="2A7D5612"/>
    <w:rsid w:val="2B397896"/>
    <w:rsid w:val="2BE07D12"/>
    <w:rsid w:val="2C3A4591"/>
    <w:rsid w:val="2C771BA8"/>
    <w:rsid w:val="2E9077CD"/>
    <w:rsid w:val="2EB15996"/>
    <w:rsid w:val="2EE557A5"/>
    <w:rsid w:val="2EEA4CE3"/>
    <w:rsid w:val="2F496B81"/>
    <w:rsid w:val="2F61116A"/>
    <w:rsid w:val="2FDF85B8"/>
    <w:rsid w:val="2FFFEE04"/>
    <w:rsid w:val="302F50D3"/>
    <w:rsid w:val="304D51E6"/>
    <w:rsid w:val="31CB6D6E"/>
    <w:rsid w:val="32AE093E"/>
    <w:rsid w:val="332130EA"/>
    <w:rsid w:val="33320BBD"/>
    <w:rsid w:val="33567E81"/>
    <w:rsid w:val="347F0A26"/>
    <w:rsid w:val="34C177DA"/>
    <w:rsid w:val="34DF85B0"/>
    <w:rsid w:val="366D2EA0"/>
    <w:rsid w:val="377B6662"/>
    <w:rsid w:val="3800345E"/>
    <w:rsid w:val="38C509BB"/>
    <w:rsid w:val="3A403D2E"/>
    <w:rsid w:val="3B8F36BC"/>
    <w:rsid w:val="3D2F33C3"/>
    <w:rsid w:val="40BF3F42"/>
    <w:rsid w:val="41175B2C"/>
    <w:rsid w:val="412C5A7C"/>
    <w:rsid w:val="42666D6B"/>
    <w:rsid w:val="42BE0955"/>
    <w:rsid w:val="42EF3B3F"/>
    <w:rsid w:val="435E29C2"/>
    <w:rsid w:val="453C0A89"/>
    <w:rsid w:val="4605225C"/>
    <w:rsid w:val="46184D55"/>
    <w:rsid w:val="46E70262"/>
    <w:rsid w:val="48D03CE5"/>
    <w:rsid w:val="491FF225"/>
    <w:rsid w:val="49851DC8"/>
    <w:rsid w:val="4F043B94"/>
    <w:rsid w:val="4F186858"/>
    <w:rsid w:val="4FFD214C"/>
    <w:rsid w:val="516C1C71"/>
    <w:rsid w:val="524830C9"/>
    <w:rsid w:val="539F20DD"/>
    <w:rsid w:val="540939FA"/>
    <w:rsid w:val="543E4414"/>
    <w:rsid w:val="545665CB"/>
    <w:rsid w:val="552F19EA"/>
    <w:rsid w:val="555E2293"/>
    <w:rsid w:val="5574126B"/>
    <w:rsid w:val="56BA5480"/>
    <w:rsid w:val="56C9121F"/>
    <w:rsid w:val="57323268"/>
    <w:rsid w:val="5777D4F5"/>
    <w:rsid w:val="57B55FF3"/>
    <w:rsid w:val="584C035A"/>
    <w:rsid w:val="59DD8326"/>
    <w:rsid w:val="5A040EEC"/>
    <w:rsid w:val="5AF34ABD"/>
    <w:rsid w:val="5C8561E9"/>
    <w:rsid w:val="5DCF5727"/>
    <w:rsid w:val="5DEF592A"/>
    <w:rsid w:val="5FC6BB1E"/>
    <w:rsid w:val="5FF720F1"/>
    <w:rsid w:val="62842BD5"/>
    <w:rsid w:val="64283A29"/>
    <w:rsid w:val="64C53799"/>
    <w:rsid w:val="64E7534D"/>
    <w:rsid w:val="66C12133"/>
    <w:rsid w:val="67C02B9A"/>
    <w:rsid w:val="67D1750E"/>
    <w:rsid w:val="67EC4870"/>
    <w:rsid w:val="67FF5C0B"/>
    <w:rsid w:val="68AD180D"/>
    <w:rsid w:val="690A2399"/>
    <w:rsid w:val="692569D2"/>
    <w:rsid w:val="693A5671"/>
    <w:rsid w:val="6A5437CA"/>
    <w:rsid w:val="6CBC1BA4"/>
    <w:rsid w:val="6EFC0924"/>
    <w:rsid w:val="6F845926"/>
    <w:rsid w:val="6FB74722"/>
    <w:rsid w:val="6FEF8B7E"/>
    <w:rsid w:val="71A6591B"/>
    <w:rsid w:val="724A32F6"/>
    <w:rsid w:val="72722B10"/>
    <w:rsid w:val="733817AF"/>
    <w:rsid w:val="7375030D"/>
    <w:rsid w:val="737D59BA"/>
    <w:rsid w:val="742F670E"/>
    <w:rsid w:val="75BA3956"/>
    <w:rsid w:val="76F06DD9"/>
    <w:rsid w:val="77C37683"/>
    <w:rsid w:val="78BC253A"/>
    <w:rsid w:val="78DE72BF"/>
    <w:rsid w:val="795F62F8"/>
    <w:rsid w:val="79FF515B"/>
    <w:rsid w:val="7C117A3E"/>
    <w:rsid w:val="7D580A83"/>
    <w:rsid w:val="7E371F3C"/>
    <w:rsid w:val="7E5D031B"/>
    <w:rsid w:val="7E9E1962"/>
    <w:rsid w:val="7E9F11B4"/>
    <w:rsid w:val="7F37EC1E"/>
    <w:rsid w:val="7F50278C"/>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Body Text First Indent"/>
    <w:basedOn w:val="3"/>
    <w:next w:val="1"/>
    <w:qFormat/>
    <w:uiPriority w:val="0"/>
    <w:pPr>
      <w:spacing w:after="120"/>
      <w:ind w:firstLine="420" w:firstLineChars="100"/>
    </w:pPr>
    <w:rPr>
      <w:sz w:val="21"/>
    </w:rPr>
  </w:style>
  <w:style w:type="paragraph" w:styleId="3">
    <w:name w:val="Body Text"/>
    <w:basedOn w:val="1"/>
    <w:next w:val="1"/>
    <w:unhideWhenUsed/>
    <w:qFormat/>
    <w:uiPriority w:val="99"/>
    <w:rPr>
      <w:kern w:val="0"/>
      <w:sz w:val="20"/>
      <w:szCs w:val="20"/>
    </w:rPr>
  </w:style>
  <w:style w:type="paragraph" w:styleId="4">
    <w:name w:val="Body Text Indent"/>
    <w:basedOn w:val="1"/>
    <w:next w:val="5"/>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First Indent 2"/>
    <w:basedOn w:val="4"/>
    <w:next w:val="1"/>
    <w:unhideWhenUsed/>
    <w:qFormat/>
    <w:uiPriority w:val="99"/>
    <w:pPr>
      <w:ind w:firstLine="420" w:firstLineChars="200"/>
    </w:pPr>
  </w:style>
  <w:style w:type="paragraph" w:styleId="6">
    <w:name w:val="Balloon Text"/>
    <w:basedOn w:val="1"/>
    <w:link w:val="17"/>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5"/>
    <w:semiHidden/>
    <w:qFormat/>
    <w:uiPriority w:val="0"/>
    <w:pPr>
      <w:snapToGrid w:val="0"/>
      <w:jc w:val="left"/>
    </w:pPr>
    <w:rPr>
      <w:sz w:val="18"/>
      <w:szCs w:val="18"/>
    </w:rPr>
  </w:style>
  <w:style w:type="table" w:styleId="12">
    <w:name w:val="Table Grid"/>
    <w:basedOn w:val="1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3">
    <w:name w:val="页眉 Char"/>
    <w:basedOn w:val="10"/>
    <w:link w:val="8"/>
    <w:qFormat/>
    <w:uiPriority w:val="99"/>
    <w:rPr>
      <w:sz w:val="18"/>
      <w:szCs w:val="18"/>
    </w:rPr>
  </w:style>
  <w:style w:type="character" w:customStyle="1" w:styleId="14">
    <w:name w:val="页脚 Char"/>
    <w:basedOn w:val="10"/>
    <w:link w:val="7"/>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customStyle="1" w:styleId="16">
    <w:name w:val="List Paragraph"/>
    <w:basedOn w:val="1"/>
    <w:qFormat/>
    <w:uiPriority w:val="34"/>
    <w:pPr>
      <w:ind w:firstLine="420" w:firstLineChars="200"/>
    </w:pPr>
  </w:style>
  <w:style w:type="character" w:customStyle="1" w:styleId="17">
    <w:name w:val="批注框文本 Char"/>
    <w:basedOn w:val="10"/>
    <w:link w:val="6"/>
    <w:semiHidden/>
    <w:qFormat/>
    <w:uiPriority w:val="99"/>
    <w:rPr>
      <w:sz w:val="18"/>
      <w:szCs w:val="18"/>
    </w:rPr>
  </w:style>
  <w:style w:type="character" w:customStyle="1" w:styleId="18">
    <w:name w:val="font01"/>
    <w:basedOn w:val="10"/>
    <w:qFormat/>
    <w:uiPriority w:val="0"/>
    <w:rPr>
      <w:rFonts w:hint="eastAsia" w:ascii="宋体" w:hAnsi="宋体" w:eastAsia="宋体" w:cs="宋体"/>
      <w:color w:val="000000"/>
      <w:sz w:val="22"/>
      <w:szCs w:val="22"/>
      <w:u w:val="none"/>
    </w:rPr>
  </w:style>
  <w:style w:type="character" w:customStyle="1" w:styleId="19">
    <w:name w:val="font21"/>
    <w:basedOn w:val="10"/>
    <w:qFormat/>
    <w:uiPriority w:val="0"/>
    <w:rPr>
      <w:rFonts w:hint="eastAsia" w:ascii="宋体" w:hAnsi="宋体" w:eastAsia="宋体" w:cs="宋体"/>
      <w:color w:val="000000"/>
      <w:sz w:val="24"/>
      <w:szCs w:val="24"/>
      <w:u w:val="none"/>
    </w:rPr>
  </w:style>
  <w:style w:type="character" w:customStyle="1" w:styleId="20">
    <w:name w:val="font11"/>
    <w:basedOn w:val="10"/>
    <w:qFormat/>
    <w:uiPriority w:val="0"/>
    <w:rPr>
      <w:rFonts w:hint="eastAsia" w:ascii="宋体" w:hAnsi="宋体" w:eastAsia="宋体" w:cs="宋体"/>
      <w:color w:val="000000"/>
      <w:sz w:val="24"/>
      <w:szCs w:val="24"/>
      <w:u w:val="none"/>
    </w:rPr>
  </w:style>
  <w:style w:type="character" w:customStyle="1" w:styleId="21">
    <w:name w:val="font121"/>
    <w:qFormat/>
    <w:uiPriority w:val="0"/>
    <w:rPr>
      <w:rFonts w:hint="eastAsia" w:ascii="仿宋" w:hAnsi="仿宋" w:eastAsia="仿宋" w:cs="仿宋"/>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34</Pages>
  <Words>13421</Words>
  <Characters>16583</Characters>
  <Lines>63</Lines>
  <Paragraphs>18</Paragraphs>
  <TotalTime>5</TotalTime>
  <ScaleCrop>false</ScaleCrop>
  <LinksUpToDate>false</LinksUpToDate>
  <CharactersWithSpaces>16774</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宋炀</cp:lastModifiedBy>
  <cp:lastPrinted>2024-08-08T10:20:00Z</cp:lastPrinted>
  <dcterms:modified xsi:type="dcterms:W3CDTF">2024-09-20T08:29:20Z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40EEACF182EA4E56B6246C189A441144_12</vt:lpwstr>
  </property>
</Properties>
</file>